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2F1" w:rsidRPr="0061476B" w:rsidRDefault="00D402F1" w:rsidP="00D402F1">
      <w:pPr>
        <w:rPr>
          <w:rFonts w:ascii="Times New Roman" w:hAnsi="Times New Roman" w:cs="Times New Roman"/>
          <w:b/>
          <w:bCs/>
          <w:sz w:val="24"/>
          <w:szCs w:val="24"/>
        </w:rPr>
      </w:pPr>
      <w:bookmarkStart w:id="0" w:name="_GoBack"/>
      <w:bookmarkEnd w:id="0"/>
      <w:r w:rsidRPr="0061476B">
        <w:rPr>
          <w:rFonts w:ascii="Times New Roman" w:hAnsi="Times New Roman" w:cs="Times New Roman"/>
          <w:b/>
          <w:bCs/>
          <w:sz w:val="24"/>
          <w:szCs w:val="24"/>
        </w:rPr>
        <w:t>Shqipëria</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Për sa i përket kriterit politik, në legjislaturën e re, si rezultat i zgjedhjeve të vitit 2021, të cilat u mbajtën pas marrëveshjes ndërpartiake të 5 qershorit 2020, anëtarët e zgjedhur nga partitë më të mëdha opozitare zunë vendet e tyre në parlament. Kuvendi zgjodhi Presidentin e ri të Republikës. </w:t>
      </w:r>
      <w:r w:rsidRPr="0061476B">
        <w:rPr>
          <w:rFonts w:ascii="Times New Roman" w:hAnsi="Times New Roman" w:cs="Times New Roman"/>
          <w:b/>
          <w:bCs/>
          <w:color w:val="FF0000"/>
          <w:sz w:val="24"/>
          <w:szCs w:val="24"/>
        </w:rPr>
        <w:t>Konflikti i brendshëm brenda partisë më të madhe opozitare (PD), ndikoi në jetën parlamentare</w:t>
      </w:r>
      <w:r w:rsidRPr="0061476B">
        <w:rPr>
          <w:rFonts w:ascii="Times New Roman" w:hAnsi="Times New Roman" w:cs="Times New Roman"/>
          <w:color w:val="FF0000"/>
          <w:sz w:val="24"/>
          <w:szCs w:val="24"/>
        </w:rPr>
        <w:t xml:space="preserve">. </w:t>
      </w:r>
      <w:r w:rsidRPr="0061476B">
        <w:rPr>
          <w:rFonts w:ascii="Times New Roman" w:hAnsi="Times New Roman" w:cs="Times New Roman"/>
          <w:sz w:val="24"/>
          <w:szCs w:val="24"/>
        </w:rPr>
        <w:t xml:space="preserve">Për reformat e orientuara drejt BE-së, parlamenti miratoi një zgjatje kushtetuese me afat të kufizuar të mandatit të organeve të verifikimit dhe nëntë ligje që synojnë përafrimin me acquis të BE-së. Qeveria mbajti fokusin në reformat që lidhen me rrugën e vendit drejt BE-së dhe përforcoi strukturën e saj koordinuese për integrimin në BE, por duhet të avancojë më tej axhendën e reformave të BE-së, së bashku me opozitën dhe të gjitha segmentet e shoqërisë. </w:t>
      </w:r>
      <w:r w:rsidRPr="0061476B">
        <w:rPr>
          <w:rFonts w:ascii="Times New Roman" w:hAnsi="Times New Roman" w:cs="Times New Roman"/>
          <w:b/>
          <w:bCs/>
          <w:sz w:val="24"/>
          <w:szCs w:val="24"/>
        </w:rPr>
        <w:t>Krijimi i disa agjencive qeveritare rreth Kryeministrisë, pa një kuadër gjithëpërfshirës drejtues dhe pa një vëmendje sistematike ndaj linjave të mbikëqyrjes dhe raportimit, ngre pikëpyetje në lidhje me standardet e administratës publike.</w:t>
      </w:r>
      <w:r w:rsidRPr="0061476B">
        <w:rPr>
          <w:rFonts w:ascii="Times New Roman" w:hAnsi="Times New Roman" w:cs="Times New Roman"/>
          <w:sz w:val="24"/>
          <w:szCs w:val="24"/>
        </w:rPr>
        <w:t xml:space="preserve"> Mbetet për t'u miratuar një strategji e re decentralizimi përtej vitit 2022 dhe konsultimi në nivel lokal do të jetë thelbësor. Pavarësisht përmirësimeve të financimit, u arrit përparim i kufizuar në zbatimin e udhërrëfyesit për krijimin e një mjedisi të favorshëm për shoqërinë civile.</w:t>
      </w:r>
    </w:p>
    <w:p w:rsidR="00D402F1" w:rsidRPr="0061476B" w:rsidRDefault="00D402F1" w:rsidP="00D402F1">
      <w:pPr>
        <w:jc w:val="both"/>
        <w:rPr>
          <w:rFonts w:ascii="Times New Roman" w:hAnsi="Times New Roman" w:cs="Times New Roman"/>
          <w:i/>
          <w:iCs/>
          <w:sz w:val="24"/>
          <w:szCs w:val="24"/>
          <w:u w:val="single"/>
        </w:rPr>
      </w:pPr>
      <w:r w:rsidRPr="0061476B">
        <w:rPr>
          <w:rFonts w:ascii="Times New Roman" w:hAnsi="Times New Roman" w:cs="Times New Roman"/>
          <w:b/>
          <w:bCs/>
          <w:sz w:val="24"/>
          <w:szCs w:val="24"/>
        </w:rPr>
        <w:t>Shqipëria është mesatarisht e përgatitur në fushën e reformës së administratës publike.</w:t>
      </w:r>
      <w:r w:rsidRPr="0061476B">
        <w:rPr>
          <w:rFonts w:ascii="Times New Roman" w:hAnsi="Times New Roman" w:cs="Times New Roman"/>
          <w:sz w:val="24"/>
          <w:szCs w:val="24"/>
        </w:rPr>
        <w:t xml:space="preserve"> Ajo bëri </w:t>
      </w:r>
      <w:r w:rsidRPr="0061476B">
        <w:rPr>
          <w:rFonts w:ascii="Times New Roman" w:hAnsi="Times New Roman" w:cs="Times New Roman"/>
          <w:b/>
          <w:bCs/>
          <w:sz w:val="24"/>
          <w:szCs w:val="24"/>
        </w:rPr>
        <w:t>përparim të kufizuar në forcimin e kapaciteteve të ministrive të linjës për të zbatuar vlerësimet e ndikimit rregullator dhe për të mbajtur konsultime publike.</w:t>
      </w:r>
      <w:r w:rsidRPr="0061476B">
        <w:rPr>
          <w:rFonts w:ascii="Times New Roman" w:hAnsi="Times New Roman" w:cs="Times New Roman"/>
          <w:sz w:val="24"/>
          <w:szCs w:val="24"/>
        </w:rPr>
        <w:t xml:space="preserve"> Filloi përgatitjet për reformën e pagave dhe zgjeroi sistemin e automatizuar të listës së pagave. Vazhdoi zbatimi i reformës së administratës publike 2015-2022 dhe strategjive të reformës së menaxhimit të financave publike 2014-2022. </w:t>
      </w:r>
      <w:r w:rsidRPr="0061476B">
        <w:rPr>
          <w:rFonts w:ascii="Times New Roman" w:hAnsi="Times New Roman" w:cs="Times New Roman"/>
          <w:b/>
          <w:bCs/>
          <w:i/>
          <w:iCs/>
          <w:sz w:val="24"/>
          <w:szCs w:val="24"/>
        </w:rPr>
        <w:t>Sistemet e IT-së për planifikim të integruar nuk janë ende plotësisht funksionale</w:t>
      </w:r>
      <w:r w:rsidRPr="0061476B">
        <w:rPr>
          <w:rFonts w:ascii="Times New Roman" w:hAnsi="Times New Roman" w:cs="Times New Roman"/>
          <w:sz w:val="24"/>
          <w:szCs w:val="24"/>
        </w:rPr>
        <w:t xml:space="preserve">. Megjithatë, </w:t>
      </w:r>
      <w:r w:rsidRPr="0061476B">
        <w:rPr>
          <w:rFonts w:ascii="Times New Roman" w:hAnsi="Times New Roman" w:cs="Times New Roman"/>
          <w:b/>
          <w:bCs/>
          <w:sz w:val="24"/>
          <w:szCs w:val="24"/>
        </w:rPr>
        <w:t>organet në varësi të ministrive (agjencite) vazhduan të krijohen pa një kornizë gjithëpërfshirëse drejtuese, vëmendje sistematike ndaj mbikëqyrjes ose linja të qarta raportimi.</w:t>
      </w:r>
      <w:r w:rsidRPr="0061476B">
        <w:rPr>
          <w:rFonts w:ascii="Times New Roman" w:hAnsi="Times New Roman" w:cs="Times New Roman"/>
          <w:sz w:val="24"/>
          <w:szCs w:val="24"/>
        </w:rPr>
        <w:t xml:space="preserve"> </w:t>
      </w:r>
      <w:r w:rsidRPr="0061476B">
        <w:rPr>
          <w:rFonts w:ascii="Times New Roman" w:hAnsi="Times New Roman" w:cs="Times New Roman"/>
          <w:b/>
          <w:bCs/>
          <w:i/>
          <w:iCs/>
          <w:sz w:val="24"/>
          <w:szCs w:val="24"/>
        </w:rPr>
        <w:t>Ata gjithashtu e përkeqësuan më tej çështjen e detyrave që i besoheshin personelit të punësuar sipas Kodit të Punës, në vend të nëpunësve civilë</w:t>
      </w:r>
      <w:r w:rsidRPr="0061476B">
        <w:rPr>
          <w:rFonts w:ascii="Times New Roman" w:hAnsi="Times New Roman" w:cs="Times New Roman"/>
          <w:sz w:val="24"/>
          <w:szCs w:val="24"/>
        </w:rPr>
        <w:t xml:space="preserve">. Dispozitat për rekrutimin e bazuar në merita në ligjin e shërbimit </w:t>
      </w:r>
      <w:r w:rsidRPr="0061476B">
        <w:rPr>
          <w:rFonts w:ascii="Times New Roman" w:hAnsi="Times New Roman" w:cs="Times New Roman"/>
          <w:i/>
          <w:iCs/>
          <w:sz w:val="24"/>
          <w:szCs w:val="24"/>
          <w:u w:val="single"/>
        </w:rPr>
        <w:t>civil mbeten për t'u zbatuar plotësisht</w:t>
      </w:r>
      <w:r w:rsidRPr="0061476B">
        <w:rPr>
          <w:rFonts w:ascii="Times New Roman" w:hAnsi="Times New Roman" w:cs="Times New Roman"/>
          <w:sz w:val="24"/>
          <w:szCs w:val="24"/>
        </w:rPr>
        <w:t xml:space="preserve">, veçanërisht për pozitat e nivelit të lartë. Numri i shërbimeve të ofruara online vazhdoi të rritet, </w:t>
      </w:r>
      <w:r w:rsidRPr="0061476B">
        <w:rPr>
          <w:rFonts w:ascii="Times New Roman" w:hAnsi="Times New Roman" w:cs="Times New Roman"/>
          <w:i/>
          <w:iCs/>
          <w:sz w:val="24"/>
          <w:szCs w:val="24"/>
          <w:u w:val="single"/>
        </w:rPr>
        <w:t>por kjo gjithashtu ngre pyetje në lidhje me aksesin e barabartë për qytetarët me aftësi të kufizuara dixhitale.</w:t>
      </w:r>
    </w:p>
    <w:p w:rsidR="00D402F1" w:rsidRPr="0061476B" w:rsidRDefault="00D402F1" w:rsidP="00D402F1">
      <w:pPr>
        <w:jc w:val="both"/>
        <w:rPr>
          <w:rFonts w:ascii="Times New Roman" w:hAnsi="Times New Roman" w:cs="Times New Roman"/>
          <w:i/>
          <w:iCs/>
          <w:sz w:val="24"/>
          <w:szCs w:val="24"/>
        </w:rPr>
      </w:pPr>
      <w:r w:rsidRPr="0061476B">
        <w:rPr>
          <w:rFonts w:ascii="Times New Roman" w:hAnsi="Times New Roman" w:cs="Times New Roman"/>
          <w:b/>
          <w:bCs/>
          <w:sz w:val="24"/>
          <w:szCs w:val="24"/>
        </w:rPr>
        <w:t>Sistemi gjyqësor i Shqipërisë</w:t>
      </w:r>
      <w:r w:rsidRPr="0061476B">
        <w:rPr>
          <w:rFonts w:ascii="Times New Roman" w:hAnsi="Times New Roman" w:cs="Times New Roman"/>
          <w:sz w:val="24"/>
          <w:szCs w:val="24"/>
        </w:rPr>
        <w:t xml:space="preserve"> ka arritur një nivel të moderuar përgatitjeje. Vazhdoi reforma gjithëpërfshirëse në drejtësi, duke rezultuar në një progres të mirë në përgjithësi. Dy gjyqtarë të rinj u emëruan në Gjykatën Kushtetuese në mars dhe shtator 2022, duke përmirësuar më tej aftësinë e gjykatës për të kryer mandatin e saj. Progres pati edhe me Gjykatën e Lartë, e cila tani ka 15 gjyqtarë në detyrë, duke i </w:t>
      </w:r>
      <w:r w:rsidRPr="0061476B">
        <w:rPr>
          <w:rFonts w:ascii="Times New Roman" w:hAnsi="Times New Roman" w:cs="Times New Roman"/>
          <w:i/>
          <w:iCs/>
          <w:sz w:val="24"/>
          <w:szCs w:val="24"/>
        </w:rPr>
        <w:t>mundësuar asaj të reduktojë numrin e lëndëve të pazgjidhura për herë të parë në gjashtë vjet</w:t>
      </w:r>
      <w:r w:rsidRPr="0061476B">
        <w:rPr>
          <w:rFonts w:ascii="Times New Roman" w:hAnsi="Times New Roman" w:cs="Times New Roman"/>
          <w:sz w:val="24"/>
          <w:szCs w:val="24"/>
        </w:rPr>
        <w:t xml:space="preserve">, të nisë unifikimin e praktikës gjyqësore dhe të emërojë gjyqtarë në Gjykatën Kushtetuese. Priten emërime të mëtejshme në Gjykatën e Lartë. </w:t>
      </w:r>
      <w:r w:rsidRPr="0061476B">
        <w:rPr>
          <w:rFonts w:ascii="Times New Roman" w:hAnsi="Times New Roman" w:cs="Times New Roman"/>
          <w:b/>
          <w:bCs/>
          <w:i/>
          <w:iCs/>
          <w:sz w:val="24"/>
          <w:szCs w:val="24"/>
        </w:rPr>
        <w:t>Megjithatë, procedurat e gjata, një shkallë e ulët e pastrimit dhe një numër i madh i çështjeve të mbetura vazhdojnë të ndikojnë negativisht në efikasitetin e sistemit gjyqësor</w:t>
      </w:r>
      <w:r w:rsidRPr="0061476B">
        <w:rPr>
          <w:rFonts w:ascii="Times New Roman" w:hAnsi="Times New Roman" w:cs="Times New Roman"/>
          <w:sz w:val="24"/>
          <w:szCs w:val="24"/>
        </w:rPr>
        <w:t xml:space="preserve">. Për të trajtuar këto probleme, pas konsultimeve u miratua një hartë e re gjyqësore. </w:t>
      </w:r>
      <w:r w:rsidRPr="0061476B">
        <w:rPr>
          <w:rFonts w:ascii="Times New Roman" w:hAnsi="Times New Roman" w:cs="Times New Roman"/>
          <w:i/>
          <w:iCs/>
          <w:sz w:val="24"/>
          <w:szCs w:val="24"/>
        </w:rPr>
        <w:t>Kërkohen ende përpjekje shtesë për ta vënë atë në fuqi, si dhe për të përmirësuar sistemin e menaxhimit të çështjeve dhe sistemin e trajnimit për magjistratët.</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lastRenderedPageBreak/>
        <w:t>Rivlerësimi i përkohshëm</w:t>
      </w:r>
      <w:r w:rsidRPr="0061476B">
        <w:rPr>
          <w:rFonts w:ascii="Times New Roman" w:hAnsi="Times New Roman" w:cs="Times New Roman"/>
          <w:sz w:val="24"/>
          <w:szCs w:val="24"/>
        </w:rPr>
        <w:t xml:space="preserve"> i </w:t>
      </w:r>
      <w:r w:rsidRPr="0061476B">
        <w:rPr>
          <w:rFonts w:ascii="Times New Roman" w:hAnsi="Times New Roman" w:cs="Times New Roman"/>
          <w:b/>
          <w:bCs/>
          <w:i/>
          <w:iCs/>
          <w:sz w:val="24"/>
          <w:szCs w:val="24"/>
        </w:rPr>
        <w:t>të gjithë gjyqtarëve dhe prokurorëve (procesi i vetingut)</w:t>
      </w:r>
      <w:r w:rsidRPr="0061476B">
        <w:rPr>
          <w:rFonts w:ascii="Times New Roman" w:hAnsi="Times New Roman" w:cs="Times New Roman"/>
          <w:sz w:val="24"/>
          <w:szCs w:val="24"/>
        </w:rPr>
        <w:t xml:space="preserve"> ka vazhduar të përparojë në mënyrë të qëndrueshme. Nën kujdesin e Komisionit Evropian, Operacioni Ndërkombëtar i Monitorimit ka vazhduar të mbikëqyrë procesin në mënyrë të pavarur. Deri më 12 shtator, institucionet e vettingut kishin përfunduar 554 çështje të shkallës së parë. Rreth 64% e dosjeve të vettingut të përpunuara deri më tani kanë rezultuar me shkarkime, dorëheqje ose përfundimin e mandatit të magjistratëve të verifikuar. Institucionet e vettingut duhet të vazhdojnë t'i referojnë organeve të prokurorisë rastet kur ka të dhëna për vepra penale.</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Struktura e Specializuar Kundër Korrupsionit dhe Krimit të Organizuar (SPAK), e përbërë nga Prokuroria e Posaçme (PSPO) dhe Byroja Kombëtare e Hetimit (BKB),</w:t>
      </w:r>
      <w:r w:rsidRPr="0061476B">
        <w:rPr>
          <w:rFonts w:ascii="Times New Roman" w:hAnsi="Times New Roman" w:cs="Times New Roman"/>
          <w:sz w:val="24"/>
          <w:szCs w:val="24"/>
        </w:rPr>
        <w:t xml:space="preserve"> vazhdoi punën e saj. Pas një rritje të buxhetit në vitin 2021, SPO tani ka 17 prokurorë në vend, rekrutimi i tetë hetuesve financiarë është duke u zhvilluar dhe NBI arriti kapacitetin e saj të plotë operacional prej 60 hetuesish pas një raundi të dytë rekrutimi.</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Shqipëria ka një nivel përgatitjeje në luftën kundër korrupsionit.</w:t>
      </w:r>
      <w:r w:rsidRPr="0061476B">
        <w:rPr>
          <w:rFonts w:ascii="Times New Roman" w:hAnsi="Times New Roman" w:cs="Times New Roman"/>
          <w:sz w:val="24"/>
          <w:szCs w:val="24"/>
        </w:rPr>
        <w:t xml:space="preserve"> Ajo vazhdoi përpjekjet e saj për të ndërtuar historikun e saj të hetimeve, ndjekjeve penale dhe dënimeve në luftën kundër korrupsionit dhe dha disa rezultate. Këto përpjekje duhet të vazhdojnë. </w:t>
      </w:r>
      <w:r w:rsidRPr="0061476B">
        <w:rPr>
          <w:rFonts w:ascii="Times New Roman" w:hAnsi="Times New Roman" w:cs="Times New Roman"/>
          <w:b/>
          <w:bCs/>
          <w:sz w:val="24"/>
          <w:szCs w:val="24"/>
        </w:rPr>
        <w:t>Megjithatë, vullneti më i madh politik, përpjekjet e mëtejshme të strukturuara dhe burimet dhe aftësitë adekuate mbeten të nevojshme</w:t>
      </w:r>
      <w:r w:rsidRPr="0061476B">
        <w:rPr>
          <w:rFonts w:ascii="Times New Roman" w:hAnsi="Times New Roman" w:cs="Times New Roman"/>
          <w:sz w:val="24"/>
          <w:szCs w:val="24"/>
        </w:rPr>
        <w:t xml:space="preserve">. Gjykata e SPAK-ut dha disa vendime të rëndësishme përfundimtare për zyrtarë të lartë të shtetit, përfshirë një ish-ministër të Brendshëm dhe një ish-prokuror të Përgjithshëm. Edhe pse vettingu i anëtarëve të drejtësisë është një proces administrativ, ai vazhdon të sjellë rezultate në luftën kundër korrupsionit brenda gjyqësorit. Në Ministrinë e Drejtësisë u krijua një Drejtori e re e Përgjithshme Kundër Korrupsionit. Në përgjithësi, pavarësisht disa përparimeve, </w:t>
      </w:r>
      <w:r w:rsidRPr="0061476B">
        <w:rPr>
          <w:rFonts w:ascii="Times New Roman" w:hAnsi="Times New Roman" w:cs="Times New Roman"/>
          <w:b/>
          <w:bCs/>
          <w:sz w:val="24"/>
          <w:szCs w:val="24"/>
          <w:u w:val="single"/>
        </w:rPr>
        <w:t>korrupsioni mbetet një fushë me shqetësim serioz</w:t>
      </w:r>
      <w:r w:rsidRPr="0061476B">
        <w:rPr>
          <w:rFonts w:ascii="Times New Roman" w:hAnsi="Times New Roman" w:cs="Times New Roman"/>
          <w:sz w:val="24"/>
          <w:szCs w:val="24"/>
        </w:rPr>
        <w:t xml:space="preserve">. </w:t>
      </w:r>
      <w:r w:rsidRPr="0061476B">
        <w:rPr>
          <w:rFonts w:ascii="Times New Roman" w:hAnsi="Times New Roman" w:cs="Times New Roman"/>
          <w:i/>
          <w:iCs/>
          <w:sz w:val="24"/>
          <w:szCs w:val="24"/>
        </w:rPr>
        <w:t>Rritja e numrit të dënimeve përfundimtare të zyrtarëve të nivelit të lartë mbetet një prioritet i rëndësishëm për të trajtuar më tej kulturën e mosndëshkimit. Sektorët që janë më të rrezikuar nga korrupsioni kërkojnë vlerësim të synuar të rrezikut dhe masa të dedikuara.</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Shqipëria ka një nivel përgatitjeje në luftën kundër krimit të organizuar</w:t>
      </w:r>
      <w:r w:rsidRPr="0061476B">
        <w:rPr>
          <w:rFonts w:ascii="Times New Roman" w:hAnsi="Times New Roman" w:cs="Times New Roman"/>
          <w:sz w:val="24"/>
          <w:szCs w:val="24"/>
        </w:rPr>
        <w:t xml:space="preserve">. Ajo bëri njëfarë progresi në përmbushjen e rekomandimeve të vitit të kaluar. Bashkëpunimi i fortë dhe i frytshëm me shtetet anëtare të BE-së, Europolin dhe Eurojust-in ka çuar në rezultate të prekshme. </w:t>
      </w:r>
      <w:r w:rsidRPr="0061476B">
        <w:rPr>
          <w:rFonts w:ascii="Times New Roman" w:hAnsi="Times New Roman" w:cs="Times New Roman"/>
          <w:b/>
          <w:bCs/>
          <w:i/>
          <w:iCs/>
          <w:sz w:val="24"/>
          <w:szCs w:val="24"/>
        </w:rPr>
        <w:t>Shqipëria vazhdoi të tregojë angazhim për të luftuar prodhimin dhe trafikimin e kanabisit</w:t>
      </w:r>
      <w:r w:rsidRPr="0061476B">
        <w:rPr>
          <w:rFonts w:ascii="Times New Roman" w:hAnsi="Times New Roman" w:cs="Times New Roman"/>
          <w:sz w:val="24"/>
          <w:szCs w:val="24"/>
        </w:rPr>
        <w:t xml:space="preserve">. Progres i mirë është arritur në sekuestrimin dhe konfiskimin e aseteve të lidhura me krimin e organizuar. Kjo përpjekje duhet të vazhdojë edhe në të ardhmen. </w:t>
      </w:r>
      <w:r w:rsidRPr="0061476B">
        <w:rPr>
          <w:rFonts w:ascii="Times New Roman" w:hAnsi="Times New Roman" w:cs="Times New Roman"/>
          <w:b/>
          <w:bCs/>
          <w:i/>
          <w:iCs/>
          <w:sz w:val="24"/>
          <w:szCs w:val="24"/>
        </w:rPr>
        <w:t>Përpjekjet gjithashtu duhet të vazhdojnë për të siguruar rritje të ndjekjeve penale dhe dënimeve përfundimtare, veçanërisht në nivelet e larta.</w:t>
      </w:r>
      <w:r w:rsidRPr="0061476B">
        <w:rPr>
          <w:rFonts w:ascii="Times New Roman" w:hAnsi="Times New Roman" w:cs="Times New Roman"/>
          <w:sz w:val="24"/>
          <w:szCs w:val="24"/>
        </w:rPr>
        <w:t xml:space="preserve"> Kundër krimit kibernetik, trafikimi i qenieve njerëzore dhe pastrimi i parave mbeten fusha </w:t>
      </w:r>
      <w:r w:rsidRPr="0061476B">
        <w:rPr>
          <w:rFonts w:ascii="Times New Roman" w:hAnsi="Times New Roman" w:cs="Times New Roman"/>
          <w:i/>
          <w:iCs/>
          <w:sz w:val="24"/>
          <w:szCs w:val="24"/>
        </w:rPr>
        <w:t>në të cilat nevojiten rezultate shtesë</w:t>
      </w:r>
      <w:r w:rsidRPr="0061476B">
        <w:rPr>
          <w:rFonts w:ascii="Times New Roman" w:hAnsi="Times New Roman" w:cs="Times New Roman"/>
          <w:sz w:val="24"/>
          <w:szCs w:val="24"/>
        </w:rPr>
        <w:t xml:space="preserve">. </w:t>
      </w:r>
      <w:r w:rsidRPr="0061476B">
        <w:rPr>
          <w:rFonts w:ascii="Times New Roman" w:hAnsi="Times New Roman" w:cs="Times New Roman"/>
          <w:i/>
          <w:iCs/>
          <w:sz w:val="24"/>
          <w:szCs w:val="24"/>
        </w:rPr>
        <w:t>Fenomeni i abuzimit seksual të fëmijëve në internet mbetet shqetësues.</w:t>
      </w:r>
      <w:r w:rsidRPr="0061476B">
        <w:rPr>
          <w:rFonts w:ascii="Times New Roman" w:hAnsi="Times New Roman" w:cs="Times New Roman"/>
          <w:sz w:val="24"/>
          <w:szCs w:val="24"/>
        </w:rPr>
        <w:t xml:space="preserve"> Vendi përparoi ndjeshëm në zbatimin e Planit të Veprimit të Task Forcës së Veprimit Financiar (FATF) për të përmirësuar efektivitetin në fushën kundër pastrimit të parave, </w:t>
      </w:r>
      <w:r w:rsidRPr="0061476B">
        <w:rPr>
          <w:rFonts w:ascii="Times New Roman" w:hAnsi="Times New Roman" w:cs="Times New Roman"/>
          <w:sz w:val="24"/>
          <w:szCs w:val="24"/>
          <w:u w:val="single"/>
        </w:rPr>
        <w:t>por Shqipëria mbeti në listën e juridiksioneve nën monitorim të shtuar</w:t>
      </w:r>
      <w:r w:rsidRPr="0061476B">
        <w:rPr>
          <w:rFonts w:ascii="Times New Roman" w:hAnsi="Times New Roman" w:cs="Times New Roman"/>
          <w:sz w:val="24"/>
          <w:szCs w:val="24"/>
        </w:rPr>
        <w:t>. Hetimet financiare duhet të shoqërojnë në mënyrë sistematike procedurat penale. Shqipëria miratoi një strategji dhe plan veprimi të ri kombëtar ndërsektorial kundër terrorizmit në dhjetor 2020.</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Për të drejtat themelore</w:t>
      </w:r>
      <w:r w:rsidRPr="0061476B">
        <w:rPr>
          <w:rFonts w:ascii="Times New Roman" w:hAnsi="Times New Roman" w:cs="Times New Roman"/>
          <w:sz w:val="24"/>
          <w:szCs w:val="24"/>
        </w:rPr>
        <w:t xml:space="preserve">, Shqipëria zbaton në përgjithësi instrumentet ndërkombëtare të të drejtave të njeriut dhe ka ratifikuar shumicën e konventave ndërkombëtare për mbrojtjen e të </w:t>
      </w:r>
      <w:r w:rsidRPr="0061476B">
        <w:rPr>
          <w:rFonts w:ascii="Times New Roman" w:hAnsi="Times New Roman" w:cs="Times New Roman"/>
          <w:sz w:val="24"/>
          <w:szCs w:val="24"/>
        </w:rPr>
        <w:lastRenderedPageBreak/>
        <w:t xml:space="preserve">drejtave themelore. Është bërë njëfarë progresi në përdorimin e alternativave ndaj paraburgimit dhe, veçanërisht, në zhvillimin e shërbimit të provës, i cili mbetet plotësisht funksional, duke përfshirë edhe të miturit. Shqipëria miratoi një plan të ri veprimi për lezbiket, homoseksualët, biseksualët, transgjinorët, interseks dhe queer (LGBTIQ), i cili përfshin masa për të luftuar diskriminimin, përmirësimin e aksesit në shërbime dhe miratimin e ligjit ligjor për njohjen gjinore dhe një plan kombëtar veprimi për barazi, përfshirje dhe pjesëmarrje. të romëve dhe egjiptianëve. </w:t>
      </w:r>
      <w:r w:rsidRPr="0061476B">
        <w:rPr>
          <w:rFonts w:ascii="Times New Roman" w:hAnsi="Times New Roman" w:cs="Times New Roman"/>
          <w:b/>
          <w:bCs/>
          <w:i/>
          <w:iCs/>
          <w:sz w:val="24"/>
          <w:szCs w:val="24"/>
        </w:rPr>
        <w:t>Nevojiten përpjekje të shtuara për të konsoliduar të drejtat pronësore përmes regjistrimit dhe dixhitalizimit të të dhënave kadastrale dhe sektori mbetet i prirur ndaj korrupsionit, ndërkohë që procesi i kompensimit ka ngecur</w:t>
      </w:r>
      <w:r w:rsidRPr="0061476B">
        <w:rPr>
          <w:rFonts w:ascii="Times New Roman" w:hAnsi="Times New Roman" w:cs="Times New Roman"/>
          <w:sz w:val="24"/>
          <w:szCs w:val="24"/>
        </w:rPr>
        <w:t xml:space="preserve">. Për mbrojtjen e pakicave kombëtare, Shqipëria miratoi një legjislacion të ri zbatues që krijon një fond për projektet e shoqërisë civile në mbështetje të të drejtave të minoriteteve. Megjithatë, miratimi i legjislacionit të mbetur zbatues, duke përfshirë lirinë për t'u vetëidentifikuar si anëtar i një pakice kombëtare dhe për përdorimin e gjuhëve të pakicave, është ende në pritje. </w:t>
      </w:r>
      <w:r w:rsidRPr="0061476B">
        <w:rPr>
          <w:rFonts w:ascii="Times New Roman" w:hAnsi="Times New Roman" w:cs="Times New Roman"/>
          <w:i/>
          <w:iCs/>
          <w:sz w:val="24"/>
          <w:szCs w:val="24"/>
        </w:rPr>
        <w:t>Përgatitjet për regjistrimin e shumëpritur të popullsisë dhe banesave vazhduan, duke përfshirë regjistrimet pilot në zonat e popullsisë pakicë, megjithatë regjistrimi u shty për në vitin 2023.</w:t>
      </w:r>
      <w:r w:rsidRPr="0061476B">
        <w:rPr>
          <w:rFonts w:ascii="Times New Roman" w:hAnsi="Times New Roman" w:cs="Times New Roman"/>
          <w:sz w:val="24"/>
          <w:szCs w:val="24"/>
        </w:rPr>
        <w:t xml:space="preserve"> Duhet të ndërmerren </w:t>
      </w:r>
      <w:r w:rsidRPr="0061476B">
        <w:rPr>
          <w:rFonts w:ascii="Times New Roman" w:hAnsi="Times New Roman" w:cs="Times New Roman"/>
          <w:i/>
          <w:iCs/>
          <w:sz w:val="24"/>
          <w:szCs w:val="24"/>
        </w:rPr>
        <w:t>veprime të mëtejshme për të forcuar mbrojtjen e të dhënave</w:t>
      </w:r>
      <w:r w:rsidRPr="0061476B">
        <w:rPr>
          <w:rFonts w:ascii="Times New Roman" w:hAnsi="Times New Roman" w:cs="Times New Roman"/>
          <w:sz w:val="24"/>
          <w:szCs w:val="24"/>
        </w:rPr>
        <w:t xml:space="preserve"> dhe përafrimin e legjislacionit kombëtar me Rregulloren e Përgjithshme të BE-së për Mbrojtjen e të Dhënave ( GDPR).</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i/>
          <w:iCs/>
          <w:sz w:val="24"/>
          <w:szCs w:val="24"/>
        </w:rPr>
        <w:t>Shqipëria ka një nivel përgatitjeje/është e përgatitur mesatarisht në fushën e lirisë së shprehjes.</w:t>
      </w:r>
      <w:r w:rsidRPr="0061476B">
        <w:rPr>
          <w:rFonts w:ascii="Times New Roman" w:hAnsi="Times New Roman" w:cs="Times New Roman"/>
          <w:sz w:val="24"/>
          <w:szCs w:val="24"/>
        </w:rPr>
        <w:t xml:space="preserve"> </w:t>
      </w:r>
      <w:r w:rsidRPr="0061476B">
        <w:rPr>
          <w:rFonts w:ascii="Times New Roman" w:hAnsi="Times New Roman" w:cs="Times New Roman"/>
          <w:b/>
          <w:bCs/>
          <w:color w:val="FF0000"/>
          <w:sz w:val="24"/>
          <w:szCs w:val="24"/>
        </w:rPr>
        <w:t>Nuk është bërë progres në periudhën raportuese</w:t>
      </w:r>
      <w:r w:rsidRPr="0061476B">
        <w:rPr>
          <w:rFonts w:ascii="Times New Roman" w:hAnsi="Times New Roman" w:cs="Times New Roman"/>
          <w:color w:val="FF0000"/>
          <w:sz w:val="24"/>
          <w:szCs w:val="24"/>
        </w:rPr>
        <w:t>. N</w:t>
      </w:r>
      <w:r w:rsidRPr="0061476B">
        <w:rPr>
          <w:rFonts w:ascii="Times New Roman" w:hAnsi="Times New Roman" w:cs="Times New Roman"/>
          <w:sz w:val="24"/>
          <w:szCs w:val="24"/>
        </w:rPr>
        <w:t xml:space="preserve">dërthurja e interesave të biznesit dhe politikës vazhdoi të pengonte pavarësinë e medias dhe cilësinë e gazetarisë. Dezinformatat duke përfshirë fushatat e shpifjeve janë të përsëritura, veçanërisht në mediat online, vetërregullimi i të cilave duhet të sigurohet. </w:t>
      </w:r>
      <w:r w:rsidRPr="0061476B">
        <w:rPr>
          <w:rFonts w:ascii="Times New Roman" w:hAnsi="Times New Roman" w:cs="Times New Roman"/>
          <w:b/>
          <w:bCs/>
          <w:i/>
          <w:iCs/>
          <w:sz w:val="24"/>
          <w:szCs w:val="24"/>
        </w:rPr>
        <w:t>Atmosfera e sulmeve verbale, fushatave shpifëse dhe akteve të frikësimit ndaj gazetarëve nuk është përmirësuar.</w:t>
      </w:r>
      <w:r w:rsidRPr="0061476B">
        <w:rPr>
          <w:rFonts w:ascii="Times New Roman" w:hAnsi="Times New Roman" w:cs="Times New Roman"/>
          <w:sz w:val="24"/>
          <w:szCs w:val="24"/>
        </w:rPr>
        <w:t xml:space="preserve"> </w:t>
      </w:r>
      <w:r w:rsidRPr="0061476B">
        <w:rPr>
          <w:rFonts w:ascii="Times New Roman" w:hAnsi="Times New Roman" w:cs="Times New Roman"/>
          <w:b/>
          <w:bCs/>
          <w:sz w:val="24"/>
          <w:szCs w:val="24"/>
        </w:rPr>
        <w:t>Çdo ndryshim në Ligjin për Media duhet të jetë në përputhje me opinionin e Komisionit të Venecias dhe duhet të dorëzohet për konsultim me organizatat e medias</w:t>
      </w:r>
      <w:r w:rsidRPr="0061476B">
        <w:rPr>
          <w:rFonts w:ascii="Times New Roman" w:hAnsi="Times New Roman" w:cs="Times New Roman"/>
          <w:sz w:val="24"/>
          <w:szCs w:val="24"/>
        </w:rPr>
        <w:t>. Mbetet e rëndësishme të sigurohet që media të ketë akses të drejtpërdrejtë dhe transparent në institucionet qeveritare dhe aktivitetet e tyre. Performanca rregullatore e Autoritetit Rregullativ Audio-vizual (AMA) duhet të përmirësohet dhe pavarësia dhe burimet e transmetuesit publik duhet të forcohen.</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Shqipëria miratoi një strategji kombëtare të re dhe me buxhet më të mirë </w:t>
      </w:r>
      <w:r w:rsidRPr="0061476B">
        <w:rPr>
          <w:rFonts w:ascii="Times New Roman" w:hAnsi="Times New Roman" w:cs="Times New Roman"/>
          <w:b/>
          <w:bCs/>
          <w:sz w:val="24"/>
          <w:szCs w:val="24"/>
        </w:rPr>
        <w:t>për barazinë gjinore</w:t>
      </w:r>
      <w:r w:rsidRPr="0061476B">
        <w:rPr>
          <w:rFonts w:ascii="Times New Roman" w:hAnsi="Times New Roman" w:cs="Times New Roman"/>
          <w:sz w:val="24"/>
          <w:szCs w:val="24"/>
        </w:rPr>
        <w:t xml:space="preserve"> dhe vazhdon përpjekjet e saj për të siguruar financimin e duhur shtetëror për zbatimin e saj në nivel qendror dhe vendor. </w:t>
      </w:r>
      <w:r w:rsidRPr="0061476B">
        <w:rPr>
          <w:rFonts w:ascii="Times New Roman" w:hAnsi="Times New Roman" w:cs="Times New Roman"/>
          <w:i/>
          <w:iCs/>
          <w:sz w:val="24"/>
          <w:szCs w:val="24"/>
        </w:rPr>
        <w:t>Nevojiten përpjekje për të siguruar që të gjitha strategjitë kombëtare në nivel qendror dhe lokal të jenë të integruara gjinore dhe të shpenzojnë buxhetin në mënyra që marrin parasysh gjininë</w:t>
      </w:r>
      <w:r w:rsidRPr="0061476B">
        <w:rPr>
          <w:rFonts w:ascii="Times New Roman" w:hAnsi="Times New Roman" w:cs="Times New Roman"/>
          <w:sz w:val="24"/>
          <w:szCs w:val="24"/>
        </w:rPr>
        <w:t xml:space="preserve">. </w:t>
      </w:r>
      <w:r w:rsidRPr="0061476B">
        <w:rPr>
          <w:rFonts w:ascii="Times New Roman" w:hAnsi="Times New Roman" w:cs="Times New Roman"/>
          <w:b/>
          <w:bCs/>
          <w:color w:val="FF0000"/>
          <w:sz w:val="24"/>
          <w:szCs w:val="24"/>
        </w:rPr>
        <w:t>Sa i përket shtetësisë, Shqipëria duhet të përmbahet nga zhvillimi i një skeme të nënshtetësisë së investitorëve (pasaporta të arta) pasi do të përbënte rreziqe përsa i përket sigurisë, pastrimit të parave, evazionit fiskal, financimit të terrorizmit, korrupsionit dhe infiltrimit nga krimi i organizuar dhe do të ishte i papajtueshëm me acquis të BE-së.</w:t>
      </w:r>
      <w:r w:rsidRPr="0061476B">
        <w:rPr>
          <w:rFonts w:ascii="Times New Roman" w:hAnsi="Times New Roman" w:cs="Times New Roman"/>
          <w:color w:val="FF0000"/>
          <w:sz w:val="24"/>
          <w:szCs w:val="24"/>
        </w:rPr>
        <w:t xml:space="preserve"> </w:t>
      </w:r>
      <w:r w:rsidRPr="0061476B">
        <w:rPr>
          <w:rFonts w:ascii="Times New Roman" w:hAnsi="Times New Roman" w:cs="Times New Roman"/>
          <w:sz w:val="24"/>
          <w:szCs w:val="24"/>
        </w:rPr>
        <w:t>.</w:t>
      </w:r>
    </w:p>
    <w:p w:rsidR="00D402F1" w:rsidRPr="0061476B" w:rsidRDefault="00D402F1" w:rsidP="00D402F1">
      <w:pPr>
        <w:jc w:val="both"/>
        <w:rPr>
          <w:rFonts w:ascii="Times New Roman" w:hAnsi="Times New Roman" w:cs="Times New Roman"/>
          <w:b/>
          <w:bCs/>
          <w:i/>
          <w:iCs/>
          <w:sz w:val="24"/>
          <w:szCs w:val="24"/>
        </w:rPr>
      </w:pPr>
      <w:r w:rsidRPr="0061476B">
        <w:rPr>
          <w:rFonts w:ascii="Times New Roman" w:hAnsi="Times New Roman" w:cs="Times New Roman"/>
          <w:b/>
          <w:bCs/>
          <w:sz w:val="24"/>
          <w:szCs w:val="24"/>
        </w:rPr>
        <w:t>Sa i përket migracionit</w:t>
      </w:r>
      <w:r w:rsidRPr="0061476B">
        <w:rPr>
          <w:rFonts w:ascii="Times New Roman" w:hAnsi="Times New Roman" w:cs="Times New Roman"/>
          <w:sz w:val="24"/>
          <w:szCs w:val="24"/>
        </w:rPr>
        <w:t xml:space="preserve">, kuadri ligjor për migracionin është kryesisht i përafruar me acquis të BE-së, </w:t>
      </w:r>
      <w:r w:rsidRPr="0061476B">
        <w:rPr>
          <w:rFonts w:ascii="Times New Roman" w:hAnsi="Times New Roman" w:cs="Times New Roman"/>
          <w:b/>
          <w:bCs/>
          <w:sz w:val="24"/>
          <w:szCs w:val="24"/>
        </w:rPr>
        <w:t>por ka nevojë për përditësim dhe duhet të sigurojë një kornizë të qartë për menaxhimin dhe koordinimin e migracionit.</w:t>
      </w:r>
      <w:r w:rsidRPr="0061476B">
        <w:rPr>
          <w:rFonts w:ascii="Times New Roman" w:hAnsi="Times New Roman" w:cs="Times New Roman"/>
          <w:sz w:val="24"/>
          <w:szCs w:val="24"/>
        </w:rPr>
        <w:t xml:space="preserve"> Numri i migrantëve të parregullt të kapur në Shqipëri në vitin 2021 është ulur me rreth 15% krahasuar me vitin 2020. </w:t>
      </w:r>
      <w:r w:rsidRPr="0061476B">
        <w:rPr>
          <w:rFonts w:ascii="Times New Roman" w:hAnsi="Times New Roman" w:cs="Times New Roman"/>
          <w:b/>
          <w:bCs/>
          <w:i/>
          <w:iCs/>
          <w:sz w:val="24"/>
          <w:szCs w:val="24"/>
        </w:rPr>
        <w:t xml:space="preserve">Nuk është bërë përparim në referimet në </w:t>
      </w:r>
      <w:r w:rsidRPr="0061476B">
        <w:rPr>
          <w:rFonts w:ascii="Times New Roman" w:hAnsi="Times New Roman" w:cs="Times New Roman"/>
          <w:b/>
          <w:bCs/>
          <w:i/>
          <w:iCs/>
          <w:sz w:val="24"/>
          <w:szCs w:val="24"/>
        </w:rPr>
        <w:lastRenderedPageBreak/>
        <w:t>procedurën e azilit dhe zbatimin e procedurave të kthimit në përputhje me kuadrin ligjor. Politika e Shqipërisë për vizat duhet të përafrohet me atë të BE-së.</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Numri i shtetasve shqiptarë që paraqesin kërkesa për azil në shtetet anëtare të BE-së. mbetet më e ulët se kulmi i vitit 2015, por është rritur ndjeshëm në verën e vitit 2021, </w:t>
      </w:r>
      <w:r w:rsidRPr="0061476B">
        <w:rPr>
          <w:rFonts w:ascii="Times New Roman" w:hAnsi="Times New Roman" w:cs="Times New Roman"/>
          <w:i/>
          <w:iCs/>
          <w:sz w:val="24"/>
          <w:szCs w:val="24"/>
          <w:u w:val="single"/>
        </w:rPr>
        <w:t>dhe për këtë arsye kërkon ende përpjekje të vazhdueshme dhe të qëndrueshme</w:t>
      </w:r>
      <w:r w:rsidRPr="0061476B">
        <w:rPr>
          <w:rFonts w:ascii="Times New Roman" w:hAnsi="Times New Roman" w:cs="Times New Roman"/>
          <w:sz w:val="24"/>
          <w:szCs w:val="24"/>
        </w:rPr>
        <w:t xml:space="preserve">. Dialogu dhe bashkëpunimi me vendet më të prekura ka vazhduar, përveç kontrolleve të thella kufitare dhe ndërgjegjësimit për të drejtat dhe detyrimet në kuadër të regjimit pa viza. </w:t>
      </w:r>
      <w:r w:rsidRPr="0061476B">
        <w:rPr>
          <w:rFonts w:ascii="Times New Roman" w:hAnsi="Times New Roman" w:cs="Times New Roman"/>
          <w:b/>
          <w:bCs/>
          <w:sz w:val="24"/>
          <w:szCs w:val="24"/>
        </w:rPr>
        <w:t>Shqipëria duhet të vazhdojë të trajtojë fenomenin e të miturve të pashoqëruar. Komisioni po monitoron nga afër trendin në kuadër të mekanizmit monitorues pas liberalizimit të vizave.</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Në kriterin ekonomik</w:t>
      </w:r>
      <w:r w:rsidRPr="0061476B">
        <w:rPr>
          <w:rFonts w:ascii="Times New Roman" w:hAnsi="Times New Roman" w:cs="Times New Roman"/>
          <w:sz w:val="24"/>
          <w:szCs w:val="24"/>
        </w:rPr>
        <w:t xml:space="preserve">, Shqipëria ka bërë progres të mirë dhe është mesatarisht e përgatitur për zhvillimin e një ekonomie tregu funksionale. Ndikimi i pandemisë COVID-19 në ekonomi, deficiti buxhetor dhe raporti i borxhit publik ishin më të ulëta se sa pritej, por lufta e Rusisë kundër Ukrainës shkaktoi rritje çmimesh dhe ulje të tregtisë. </w:t>
      </w:r>
      <w:r w:rsidRPr="0061476B">
        <w:rPr>
          <w:rFonts w:ascii="Times New Roman" w:hAnsi="Times New Roman" w:cs="Times New Roman"/>
          <w:i/>
          <w:iCs/>
          <w:sz w:val="24"/>
          <w:szCs w:val="24"/>
        </w:rPr>
        <w:t>Hapësira fiskale mbetet e kufizuar.</w:t>
      </w:r>
      <w:r w:rsidRPr="0061476B">
        <w:rPr>
          <w:rFonts w:ascii="Times New Roman" w:hAnsi="Times New Roman" w:cs="Times New Roman"/>
          <w:sz w:val="24"/>
          <w:szCs w:val="24"/>
        </w:rPr>
        <w:t xml:space="preserve"> Reformat në lidhje me të ardhurat përparuan, </w:t>
      </w:r>
      <w:r w:rsidRPr="0061476B">
        <w:rPr>
          <w:rFonts w:ascii="Times New Roman" w:hAnsi="Times New Roman" w:cs="Times New Roman"/>
          <w:i/>
          <w:iCs/>
          <w:sz w:val="24"/>
          <w:szCs w:val="24"/>
        </w:rPr>
        <w:t>por shpenzimet për investime mbeten të dobëta</w:t>
      </w:r>
      <w:r w:rsidRPr="0061476B">
        <w:rPr>
          <w:rFonts w:ascii="Times New Roman" w:hAnsi="Times New Roman" w:cs="Times New Roman"/>
          <w:sz w:val="24"/>
          <w:szCs w:val="24"/>
        </w:rPr>
        <w:t xml:space="preserve">. </w:t>
      </w:r>
      <w:r w:rsidRPr="0061476B">
        <w:rPr>
          <w:rFonts w:ascii="Times New Roman" w:hAnsi="Times New Roman" w:cs="Times New Roman"/>
          <w:b/>
          <w:bCs/>
          <w:sz w:val="24"/>
          <w:szCs w:val="24"/>
          <w:u w:val="single"/>
        </w:rPr>
        <w:t>Rishikimet e shpeshta të buxhetit dobësojnë besueshmërinë fiskale</w:t>
      </w:r>
      <w:r w:rsidRPr="0061476B">
        <w:rPr>
          <w:rFonts w:ascii="Times New Roman" w:hAnsi="Times New Roman" w:cs="Times New Roman"/>
          <w:sz w:val="24"/>
          <w:szCs w:val="24"/>
        </w:rPr>
        <w:t xml:space="preserve">. </w:t>
      </w:r>
      <w:r w:rsidRPr="0061476B">
        <w:rPr>
          <w:rFonts w:ascii="Times New Roman" w:hAnsi="Times New Roman" w:cs="Times New Roman"/>
          <w:b/>
          <w:bCs/>
          <w:sz w:val="24"/>
          <w:szCs w:val="24"/>
        </w:rPr>
        <w:t>Inflacioni u rrit mbi objektivin</w:t>
      </w:r>
      <w:r w:rsidRPr="0061476B">
        <w:rPr>
          <w:rFonts w:ascii="Times New Roman" w:hAnsi="Times New Roman" w:cs="Times New Roman"/>
          <w:sz w:val="24"/>
          <w:szCs w:val="24"/>
        </w:rPr>
        <w:t xml:space="preserve">. Rritja e dixhitalizimit të shërbimeve publike, përfshirja financiare dhe inspektimet e punës solli dobi per mjedisin e biznesit dhe formalizimin e ekonomisë, </w:t>
      </w:r>
      <w:r w:rsidRPr="0061476B">
        <w:rPr>
          <w:rFonts w:ascii="Times New Roman" w:hAnsi="Times New Roman" w:cs="Times New Roman"/>
          <w:b/>
          <w:bCs/>
          <w:i/>
          <w:iCs/>
          <w:sz w:val="24"/>
          <w:szCs w:val="24"/>
          <w:u w:val="single"/>
        </w:rPr>
        <w:t>por ekonomia joformale mbetet e rëndësishme</w:t>
      </w:r>
      <w:r w:rsidRPr="0061476B">
        <w:rPr>
          <w:rFonts w:ascii="Times New Roman" w:hAnsi="Times New Roman" w:cs="Times New Roman"/>
          <w:sz w:val="24"/>
          <w:szCs w:val="24"/>
        </w:rPr>
        <w:t xml:space="preserve">. </w:t>
      </w:r>
      <w:r w:rsidRPr="0061476B">
        <w:rPr>
          <w:rFonts w:ascii="Times New Roman" w:hAnsi="Times New Roman" w:cs="Times New Roman"/>
          <w:b/>
          <w:bCs/>
          <w:sz w:val="24"/>
          <w:szCs w:val="24"/>
        </w:rPr>
        <w:t>Konsultimi publik mbetet i dobët</w:t>
      </w:r>
      <w:r w:rsidRPr="0061476B">
        <w:rPr>
          <w:rFonts w:ascii="Times New Roman" w:hAnsi="Times New Roman" w:cs="Times New Roman"/>
          <w:sz w:val="24"/>
          <w:szCs w:val="24"/>
        </w:rPr>
        <w:t xml:space="preserve">. Shqipëria ka bërë disa përparime dhe është në një nivel përgatitjeje për të përballuar presionin konkurrues dhe forcat e tregut brenda BE-së. Infrastruktura e energjisë dhe transportit, dixhitalizimi dhe arsimi u përmirësuan, </w:t>
      </w:r>
      <w:r w:rsidRPr="0061476B">
        <w:rPr>
          <w:rFonts w:ascii="Times New Roman" w:hAnsi="Times New Roman" w:cs="Times New Roman"/>
          <w:b/>
          <w:bCs/>
          <w:sz w:val="24"/>
          <w:szCs w:val="24"/>
        </w:rPr>
        <w:t xml:space="preserve">por njohuritë sipërmarrëse dhe teknologjike mbeten të ulëta, me nevoja të paplotësuara për investime në kapitalin njerëzor dhe fizik, boshllëqe në aftësi dhe arsim, si dhe shpenzime të ulëta për kërkim dhe zhvillim. </w:t>
      </w:r>
      <w:r w:rsidRPr="0061476B">
        <w:rPr>
          <w:rFonts w:ascii="Times New Roman" w:hAnsi="Times New Roman" w:cs="Times New Roman"/>
          <w:sz w:val="24"/>
          <w:szCs w:val="24"/>
        </w:rPr>
        <w:t>Diversifikimi i ulët i eksporteve rrit ndjeshmërinë ndaj goditjeve të jashtme. Integrimi rajonal dhe eksportet u rritën por mbetën nën potencial.</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b/>
          <w:bCs/>
          <w:sz w:val="24"/>
          <w:szCs w:val="24"/>
        </w:rPr>
        <w:t>Përsa i përket prokurimit publik</w:t>
      </w:r>
      <w:r w:rsidRPr="0061476B">
        <w:rPr>
          <w:rFonts w:ascii="Times New Roman" w:hAnsi="Times New Roman" w:cs="Times New Roman"/>
          <w:sz w:val="24"/>
          <w:szCs w:val="24"/>
        </w:rPr>
        <w:t xml:space="preserve">, Shqipëria është </w:t>
      </w:r>
      <w:r w:rsidRPr="0061476B">
        <w:rPr>
          <w:rFonts w:ascii="Times New Roman" w:hAnsi="Times New Roman" w:cs="Times New Roman"/>
          <w:b/>
          <w:bCs/>
          <w:sz w:val="24"/>
          <w:szCs w:val="24"/>
        </w:rPr>
        <w:t>mesatarisht e përgatitur</w:t>
      </w:r>
      <w:r w:rsidRPr="0061476B">
        <w:rPr>
          <w:rFonts w:ascii="Times New Roman" w:hAnsi="Times New Roman" w:cs="Times New Roman"/>
          <w:sz w:val="24"/>
          <w:szCs w:val="24"/>
        </w:rPr>
        <w:t xml:space="preserve">, vendi ka bërë përparim të mirë, veçanërisht duke miratuar legjislacionin e mëtejshëm zbatues dhe duke lancuar një sistem elektronik të ankesave dhe ankesave. Për sa i </w:t>
      </w:r>
      <w:r w:rsidRPr="0061476B">
        <w:rPr>
          <w:rFonts w:ascii="Times New Roman" w:hAnsi="Times New Roman" w:cs="Times New Roman"/>
          <w:b/>
          <w:bCs/>
          <w:sz w:val="24"/>
          <w:szCs w:val="24"/>
        </w:rPr>
        <w:t>përket statistikave</w:t>
      </w:r>
      <w:r w:rsidRPr="0061476B">
        <w:rPr>
          <w:rFonts w:ascii="Times New Roman" w:hAnsi="Times New Roman" w:cs="Times New Roman"/>
          <w:sz w:val="24"/>
          <w:szCs w:val="24"/>
        </w:rPr>
        <w:t xml:space="preserve">, Shqipëria është gjithashtu mesatarisht e përgatitur, ka </w:t>
      </w:r>
      <w:r w:rsidRPr="0061476B">
        <w:rPr>
          <w:rFonts w:ascii="Times New Roman" w:hAnsi="Times New Roman" w:cs="Times New Roman"/>
          <w:b/>
          <w:bCs/>
          <w:i/>
          <w:iCs/>
          <w:sz w:val="24"/>
          <w:szCs w:val="24"/>
        </w:rPr>
        <w:t>bërë përparim të kufizuar në përafrimin me standardet ESA 2010</w:t>
      </w:r>
      <w:r w:rsidRPr="0061476B">
        <w:rPr>
          <w:rFonts w:ascii="Times New Roman" w:hAnsi="Times New Roman" w:cs="Times New Roman"/>
          <w:sz w:val="24"/>
          <w:szCs w:val="24"/>
        </w:rPr>
        <w:t>, publikimin dhe transmetimin më të shpejtë në Eurostat, por ligji i Regjistrimit të Popullsisë është shtyrë më tej. Shqipëria është mesatarisht e përgatitur në shumicën e fushave për kontrollin financiar, ku vendi ka bërë disa përparime, veçanërisht në kontrollin e brendshëm financiar publik dhe auditimin e brendshëm.</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Shqipëria është e përgatitur mesatarisht në </w:t>
      </w:r>
      <w:r w:rsidRPr="0061476B">
        <w:rPr>
          <w:rFonts w:ascii="Times New Roman" w:hAnsi="Times New Roman" w:cs="Times New Roman"/>
          <w:b/>
          <w:bCs/>
          <w:sz w:val="24"/>
          <w:szCs w:val="24"/>
        </w:rPr>
        <w:t>shumicën e fushave të tregut të brendshëm</w:t>
      </w:r>
      <w:r w:rsidRPr="0061476B">
        <w:rPr>
          <w:rFonts w:ascii="Times New Roman" w:hAnsi="Times New Roman" w:cs="Times New Roman"/>
          <w:sz w:val="24"/>
          <w:szCs w:val="24"/>
        </w:rPr>
        <w:t xml:space="preserve">, përkatësisht lëvizjen e lirë të mallrave, shërbimeve dhe kapitalit, ligjin e shoqërive tregtare dhe politikën e konkurrencës. </w:t>
      </w:r>
      <w:r w:rsidRPr="0061476B">
        <w:rPr>
          <w:rFonts w:ascii="Times New Roman" w:hAnsi="Times New Roman" w:cs="Times New Roman"/>
          <w:i/>
          <w:iCs/>
          <w:sz w:val="24"/>
          <w:szCs w:val="24"/>
        </w:rPr>
        <w:t>E njëjta gjë vlen edhe për shërbimet financiare dhe për ligjin e pronësisë intelektuale, të dy kapitujt ku vendi ka bërë progres të mirë falë reduktimit të kredive me probleme dhe miratimit të legjislacionit për të drejtën e autorit dhe për të drejtat e pronësisë industriale</w:t>
      </w:r>
      <w:r w:rsidRPr="0061476B">
        <w:rPr>
          <w:rFonts w:ascii="Times New Roman" w:hAnsi="Times New Roman" w:cs="Times New Roman"/>
          <w:sz w:val="24"/>
          <w:szCs w:val="24"/>
        </w:rPr>
        <w:t xml:space="preserve">. Shqipëria ka bërë disa përparime me miratimin e një ligji të ri për të huajt si dhe duke përmbushur disa nga rekomandimet e raportit të Moneyval. </w:t>
      </w:r>
      <w:r w:rsidRPr="0061476B">
        <w:rPr>
          <w:rFonts w:ascii="Times New Roman" w:hAnsi="Times New Roman" w:cs="Times New Roman"/>
          <w:b/>
          <w:bCs/>
          <w:i/>
          <w:iCs/>
          <w:sz w:val="24"/>
          <w:szCs w:val="24"/>
        </w:rPr>
        <w:t>Megjithatë, në fushën e politikës së konkurrencës, autoriteti i ndihmës shtetërore duhet të bëhet i pavarur dhe me burime të mjaftueshme</w:t>
      </w:r>
      <w:r w:rsidRPr="0061476B">
        <w:rPr>
          <w:rFonts w:ascii="Times New Roman" w:hAnsi="Times New Roman" w:cs="Times New Roman"/>
          <w:sz w:val="24"/>
          <w:szCs w:val="24"/>
        </w:rPr>
        <w:t xml:space="preserve">. </w:t>
      </w:r>
      <w:r w:rsidRPr="0061476B">
        <w:rPr>
          <w:rFonts w:ascii="Times New Roman" w:hAnsi="Times New Roman" w:cs="Times New Roman"/>
          <w:sz w:val="24"/>
          <w:szCs w:val="24"/>
        </w:rPr>
        <w:lastRenderedPageBreak/>
        <w:t xml:space="preserve">Përgatitjet janë në një fazë të hershme për </w:t>
      </w:r>
      <w:r w:rsidRPr="0061476B">
        <w:rPr>
          <w:rFonts w:ascii="Times New Roman" w:hAnsi="Times New Roman" w:cs="Times New Roman"/>
          <w:i/>
          <w:iCs/>
          <w:sz w:val="24"/>
          <w:szCs w:val="24"/>
        </w:rPr>
        <w:t>mbrojtjen e konsumatorëve dhe shëndetit, ku vendi ka bërë përparim të kufizuar.</w:t>
      </w:r>
    </w:p>
    <w:p w:rsidR="00D402F1" w:rsidRPr="0061476B" w:rsidRDefault="00D402F1" w:rsidP="00D402F1">
      <w:pPr>
        <w:jc w:val="both"/>
        <w:rPr>
          <w:rFonts w:ascii="Times New Roman" w:hAnsi="Times New Roman" w:cs="Times New Roman"/>
          <w:i/>
          <w:iCs/>
          <w:sz w:val="24"/>
          <w:szCs w:val="24"/>
        </w:rPr>
      </w:pPr>
      <w:r w:rsidRPr="0061476B">
        <w:rPr>
          <w:rFonts w:ascii="Times New Roman" w:hAnsi="Times New Roman" w:cs="Times New Roman"/>
          <w:sz w:val="24"/>
          <w:szCs w:val="24"/>
        </w:rPr>
        <w:t xml:space="preserve">Shqipëria ka arritur një nivel të moderuar përgatitjeje në shumë fusha që lidhen </w:t>
      </w:r>
      <w:r w:rsidRPr="0061476B">
        <w:rPr>
          <w:rFonts w:ascii="Times New Roman" w:hAnsi="Times New Roman" w:cs="Times New Roman"/>
          <w:b/>
          <w:bCs/>
          <w:sz w:val="24"/>
          <w:szCs w:val="24"/>
        </w:rPr>
        <w:t>me konkurrencën dhe rritjen gjithëpërfshirëse,</w:t>
      </w:r>
      <w:r w:rsidRPr="0061476B">
        <w:rPr>
          <w:rFonts w:ascii="Times New Roman" w:hAnsi="Times New Roman" w:cs="Times New Roman"/>
          <w:sz w:val="24"/>
          <w:szCs w:val="24"/>
        </w:rPr>
        <w:t xml:space="preserve"> përkatësisht transformimin dixhital dhe median, taksat, politikën ekonomike dhe monetare, politikën e sipërmarrjeve dhe industriale, arsimin dhe kulturën. E njëjta gjë vlen edhe për bashkimin doganor, ku zbatohen rregullat e origjinës së zonës pan-Euro-Mesdhetare dhe organet e përfshira në luftën kundër kontrabandës dhe mallrave të falsifikuara duhet te forcohen dhe bashkëpunojnë më mirë. </w:t>
      </w:r>
      <w:r w:rsidRPr="0061476B">
        <w:rPr>
          <w:rFonts w:ascii="Times New Roman" w:hAnsi="Times New Roman" w:cs="Times New Roman"/>
          <w:b/>
          <w:bCs/>
          <w:color w:val="FF0000"/>
          <w:sz w:val="24"/>
          <w:szCs w:val="24"/>
        </w:rPr>
        <w:t xml:space="preserve">Miratimi i një amnistie </w:t>
      </w:r>
      <w:r>
        <w:rPr>
          <w:rFonts w:ascii="Times New Roman" w:hAnsi="Times New Roman" w:cs="Times New Roman"/>
          <w:b/>
          <w:bCs/>
          <w:color w:val="FF0000"/>
          <w:sz w:val="24"/>
          <w:szCs w:val="24"/>
        </w:rPr>
        <w:t>fiskale</w:t>
      </w:r>
      <w:r w:rsidRPr="0061476B">
        <w:rPr>
          <w:rFonts w:ascii="Times New Roman" w:hAnsi="Times New Roman" w:cs="Times New Roman"/>
          <w:b/>
          <w:bCs/>
          <w:color w:val="FF0000"/>
          <w:sz w:val="24"/>
          <w:szCs w:val="24"/>
        </w:rPr>
        <w:t xml:space="preserve"> dhe penale kundër këshillave të BE-së dhe Moneyval mund të rrezikojë përparimin në këtë fushë, si dhe në luftën kundër pastrimit të parave.</w:t>
      </w:r>
      <w:r w:rsidRPr="0061476B">
        <w:rPr>
          <w:rFonts w:ascii="Times New Roman" w:hAnsi="Times New Roman" w:cs="Times New Roman"/>
          <w:color w:val="FF0000"/>
          <w:sz w:val="24"/>
          <w:szCs w:val="24"/>
        </w:rPr>
        <w:t xml:space="preserve"> </w:t>
      </w:r>
      <w:r w:rsidRPr="0061476B">
        <w:rPr>
          <w:rFonts w:ascii="Times New Roman" w:hAnsi="Times New Roman" w:cs="Times New Roman"/>
          <w:sz w:val="24"/>
          <w:szCs w:val="24"/>
        </w:rPr>
        <w:t xml:space="preserve">Shqipëria ka një nivel përgatitjeje në politikat sociale dhe punësimin, si dhe kërkimin dhe inovacionin. Shqipëria ka bërë disa përparime në arsim, veçanërisht me miratimin e Strategjisë së re Kombëtare për Arsimin dhe Planit të Veprimit 2021-2026, </w:t>
      </w:r>
      <w:r w:rsidRPr="0061476B">
        <w:rPr>
          <w:rFonts w:ascii="Times New Roman" w:hAnsi="Times New Roman" w:cs="Times New Roman"/>
          <w:i/>
          <w:iCs/>
          <w:sz w:val="24"/>
          <w:szCs w:val="24"/>
        </w:rPr>
        <w:t>por progresi ishte i kufizuar në politikën ekonomike dhe monetare.</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Për sa i përket </w:t>
      </w:r>
      <w:r w:rsidRPr="0061476B">
        <w:rPr>
          <w:rFonts w:ascii="Times New Roman" w:hAnsi="Times New Roman" w:cs="Times New Roman"/>
          <w:b/>
          <w:bCs/>
          <w:i/>
          <w:iCs/>
          <w:sz w:val="24"/>
          <w:szCs w:val="24"/>
        </w:rPr>
        <w:t>Axhendës së Gjelbër dhe lidhjes së qëndrueshme</w:t>
      </w:r>
      <w:r w:rsidRPr="0061476B">
        <w:rPr>
          <w:rFonts w:ascii="Times New Roman" w:hAnsi="Times New Roman" w:cs="Times New Roman"/>
          <w:sz w:val="24"/>
          <w:szCs w:val="24"/>
        </w:rPr>
        <w:t xml:space="preserve">, Shqipëria është mesatarisht e përgatitur për energjinë, mjedisin dhe ndryshimet klimatike. </w:t>
      </w:r>
      <w:r w:rsidRPr="0061476B">
        <w:rPr>
          <w:rFonts w:ascii="Times New Roman" w:hAnsi="Times New Roman" w:cs="Times New Roman"/>
          <w:b/>
          <w:bCs/>
          <w:sz w:val="24"/>
          <w:szCs w:val="24"/>
        </w:rPr>
        <w:t>Ajo ka një nivel përgatitjeje në fushat e politikës së transportit dhe të rrjeteve trans-evropiane dhe është arritur njëfarë progresi në zhvillimin e rrjeteve të transportit dhe energjisë.</w:t>
      </w:r>
      <w:r w:rsidRPr="0061476B">
        <w:rPr>
          <w:rFonts w:ascii="Times New Roman" w:hAnsi="Times New Roman" w:cs="Times New Roman"/>
          <w:sz w:val="24"/>
          <w:szCs w:val="24"/>
        </w:rPr>
        <w:t xml:space="preserve"> </w:t>
      </w:r>
      <w:r w:rsidRPr="0061476B">
        <w:rPr>
          <w:rFonts w:ascii="Times New Roman" w:hAnsi="Times New Roman" w:cs="Times New Roman"/>
          <w:b/>
          <w:bCs/>
          <w:i/>
          <w:iCs/>
          <w:sz w:val="24"/>
          <w:szCs w:val="24"/>
        </w:rPr>
        <w:t>Vendi ka bërë përparim të kufizuar në këto fusha</w:t>
      </w:r>
      <w:r w:rsidRPr="0061476B">
        <w:rPr>
          <w:rFonts w:ascii="Times New Roman" w:hAnsi="Times New Roman" w:cs="Times New Roman"/>
          <w:sz w:val="24"/>
          <w:szCs w:val="24"/>
        </w:rPr>
        <w:t xml:space="preserve"> dhe përpjekjet e vazhdueshme për të adresuar çështjet me Kontrollin e Shtetit të Flamurit të anijeve dhe për të harmonizuar legjislacionin duhet të vazhdojnë. </w:t>
      </w:r>
      <w:r w:rsidRPr="0061476B">
        <w:rPr>
          <w:rFonts w:ascii="Times New Roman" w:hAnsi="Times New Roman" w:cs="Times New Roman"/>
          <w:b/>
          <w:bCs/>
          <w:i/>
          <w:iCs/>
          <w:sz w:val="24"/>
          <w:szCs w:val="24"/>
        </w:rPr>
        <w:t>Është bërë përparim i kufizuar në përafrimin e mëtejshëm të acquis të BE-së për menaxhimin e ujit, kimikatet, krimin mjedisor dhe mbrojtjen civile</w:t>
      </w:r>
      <w:r w:rsidRPr="0061476B">
        <w:rPr>
          <w:rFonts w:ascii="Times New Roman" w:hAnsi="Times New Roman" w:cs="Times New Roman"/>
          <w:sz w:val="24"/>
          <w:szCs w:val="24"/>
        </w:rPr>
        <w:t>. Ndikimi i investimeve strategjike në biodiversitetin dhe mbrojtjen e natyrës kërkon vëmendje. Ky grup dhe reformat në fjalë kanë lidhje të rëndësishme me Programin e Reformës Ekonomike të Shqipërisë, Planin Ekonomik dhe Investues të Komisionit dhe Axhendën e Gjelbër për Ballkanin Perëndimor të miratuar nga Shqipëria në dhjetor 2020.</w:t>
      </w:r>
    </w:p>
    <w:p w:rsidR="00D402F1" w:rsidRPr="0061476B"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t xml:space="preserve">Shqipëria ka një nivel përgatitjeje në shumicën e fushave të lidhura </w:t>
      </w:r>
      <w:r w:rsidRPr="0061476B">
        <w:rPr>
          <w:rFonts w:ascii="Times New Roman" w:hAnsi="Times New Roman" w:cs="Times New Roman"/>
          <w:b/>
          <w:bCs/>
          <w:sz w:val="24"/>
          <w:szCs w:val="24"/>
        </w:rPr>
        <w:t>me burimet, bujqësinë dhe kohezionin,</w:t>
      </w:r>
      <w:r w:rsidRPr="0061476B">
        <w:rPr>
          <w:rFonts w:ascii="Times New Roman" w:hAnsi="Times New Roman" w:cs="Times New Roman"/>
          <w:sz w:val="24"/>
          <w:szCs w:val="24"/>
        </w:rPr>
        <w:t xml:space="preserve"> përkatësisht bujqësinë dhe zhvillimin rural, sigurinë ushqimore, politikën veterinare dhe fitosanitare, peshkimin dhe dispozitat financiare dhe buxhetore. Ajo është përgatitur në mënyrë të moderuar për sa i përket politikës rajonale dhe koordinimit të instrumenteve strukturore. Shqipëria ka bërë disa përparime në bujqësi dhe zhvillim rural, veçanërisht me krijimin e një regjistri fermash dhe kapacitete më të mira administrative për zhvillimin rural. Progres i mirë u vu re në peshkim, me funksionalizimin e vazhdueshëm të Sistemit të Monitorimit të Anijeve dhe shpërndarjen e burimeve njerëzore për të monitoruar dhe raportuar mbi aktivitetet e anijeve të peshkimit. Shqipëria si palë kontraktuese e Komisionit të Përgjithshëm të Peshkimit për Mesdheun (GFCM) po zbaton plotësisht rekomandimet për përpjekjet e peshkimit. Është bërë njëfarë progresi në dispozitat financiare dhe buxhetore. </w:t>
      </w:r>
      <w:r w:rsidRPr="0061476B">
        <w:rPr>
          <w:rFonts w:ascii="Times New Roman" w:hAnsi="Times New Roman" w:cs="Times New Roman"/>
          <w:b/>
          <w:bCs/>
          <w:i/>
          <w:iCs/>
          <w:sz w:val="24"/>
          <w:szCs w:val="24"/>
        </w:rPr>
        <w:t>Megjithatë, progresi ishte i kufizuar në sigurinë ushqimore, politikën veterinare dhe fitosanitare, në politikën rajonale dhe koordinimin e instrumenteve strukturore.</w:t>
      </w:r>
      <w:r w:rsidRPr="0061476B">
        <w:rPr>
          <w:rFonts w:ascii="Times New Roman" w:hAnsi="Times New Roman" w:cs="Times New Roman"/>
          <w:sz w:val="24"/>
          <w:szCs w:val="24"/>
        </w:rPr>
        <w:t xml:space="preserve"> Në këtë drejtim, </w:t>
      </w:r>
      <w:r w:rsidRPr="0061476B">
        <w:rPr>
          <w:rFonts w:ascii="Times New Roman" w:hAnsi="Times New Roman" w:cs="Times New Roman"/>
          <w:b/>
          <w:bCs/>
          <w:i/>
          <w:iCs/>
          <w:sz w:val="24"/>
          <w:szCs w:val="24"/>
        </w:rPr>
        <w:t>koordinimi ndër-agjenci për asistencën e para-anëtarësimit ka nevojë për përmirësim dhe çështjet duhet të adresohen në lidhje me planifikimin strategjik, zbatimin dhe kapacitetin monitorues të projekteve të infrastrukturës në kuadër të Planit Ekonomik dhe Investimeve</w:t>
      </w:r>
      <w:r w:rsidRPr="0061476B">
        <w:rPr>
          <w:rFonts w:ascii="Times New Roman" w:hAnsi="Times New Roman" w:cs="Times New Roman"/>
          <w:sz w:val="24"/>
          <w:szCs w:val="24"/>
        </w:rPr>
        <w:t>.</w:t>
      </w:r>
    </w:p>
    <w:p w:rsidR="00D402F1" w:rsidRPr="00D402F1" w:rsidRDefault="00D402F1" w:rsidP="00D402F1">
      <w:pPr>
        <w:jc w:val="both"/>
        <w:rPr>
          <w:rFonts w:ascii="Times New Roman" w:hAnsi="Times New Roman" w:cs="Times New Roman"/>
          <w:sz w:val="24"/>
          <w:szCs w:val="24"/>
        </w:rPr>
      </w:pPr>
      <w:r w:rsidRPr="0061476B">
        <w:rPr>
          <w:rFonts w:ascii="Times New Roman" w:hAnsi="Times New Roman" w:cs="Times New Roman"/>
          <w:sz w:val="24"/>
          <w:szCs w:val="24"/>
        </w:rPr>
        <w:lastRenderedPageBreak/>
        <w:t xml:space="preserve">Shqipëria ka </w:t>
      </w:r>
      <w:r w:rsidRPr="0061476B">
        <w:rPr>
          <w:rFonts w:ascii="Times New Roman" w:hAnsi="Times New Roman" w:cs="Times New Roman"/>
          <w:b/>
          <w:bCs/>
          <w:sz w:val="24"/>
          <w:szCs w:val="24"/>
        </w:rPr>
        <w:t>arritur një nivel të mirë përgatitjeje përsa i përket marrëdhënieve të jashtme</w:t>
      </w:r>
      <w:r w:rsidRPr="0061476B">
        <w:rPr>
          <w:rFonts w:ascii="Times New Roman" w:hAnsi="Times New Roman" w:cs="Times New Roman"/>
          <w:sz w:val="24"/>
          <w:szCs w:val="24"/>
        </w:rPr>
        <w:t>, sigurisë së jashtme dhe mbrojtjes. Në kapitullin e negociatave për marrëdhëniet me jashtë, Shqipëria bëri njëfarë progresi duke vazhduar përafrimin e legjislacionit në fushën e mallrave me përdorim të dyfishtë dhe zbatimin e protokolleve shtesë të CEFTA-s. Për sa i përket Politikës së Përbashkët të Jashtme dhe të Sigurisë të BE-së, Shqipëria mbajti përputhje të plotë me të gjitha vendimet dhe deklaratat përkatëse të BE-së, duke përfshirë masat kufizuese të BE-së pas agresionit të paprovokuar të Rusisë kundër Ukrainës. Si një anëtare jo e përhershme që nga janari 2022, Shqipëria ka qenë e angazhuar në mënyrë aktive në Këshillin e Sigurimit të OKB-së në promovimin dhe mbrojtjen e rendit ndërkombëtar të bazuar në rregulla.</w:t>
      </w:r>
    </w:p>
    <w:p w:rsidR="00D402F1" w:rsidRDefault="00D402F1" w:rsidP="00E07086">
      <w:pPr>
        <w:rPr>
          <w:rFonts w:ascii="Times New Roman" w:hAnsi="Times New Roman" w:cs="Times New Roman"/>
          <w:b/>
          <w:sz w:val="24"/>
          <w:szCs w:val="24"/>
          <w:lang w:val="sq-AL"/>
        </w:rPr>
      </w:pP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2. KLASTERI 1: BAZAT E PROCESIT TË ADERIMIT</w:t>
      </w: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2.1. FUNKSIONIMI I INSTITUCIONEVE DEMOKRATIKE DHE REFORMA E ADMINISTRATËS PUBLIKE</w:t>
      </w: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2.1.1 Demokracia</w:t>
      </w:r>
    </w:p>
    <w:p w:rsidR="00E07086" w:rsidRPr="00E31BC3" w:rsidRDefault="00E07086" w:rsidP="00E31BC3">
      <w:pPr>
        <w:jc w:val="both"/>
        <w:rPr>
          <w:rFonts w:ascii="Times New Roman" w:hAnsi="Times New Roman" w:cs="Times New Roman"/>
          <w:i/>
          <w:iCs/>
          <w:sz w:val="24"/>
          <w:szCs w:val="24"/>
        </w:rPr>
      </w:pPr>
      <w:r w:rsidRPr="007922E5">
        <w:rPr>
          <w:rFonts w:ascii="Times New Roman" w:hAnsi="Times New Roman" w:cs="Times New Roman"/>
          <w:sz w:val="24"/>
          <w:szCs w:val="24"/>
          <w:lang w:val="sq-AL"/>
        </w:rPr>
        <w:t xml:space="preserve">Në Kuvendin e ri, </w:t>
      </w:r>
      <w:r w:rsidR="0082356E" w:rsidRPr="007922E5">
        <w:rPr>
          <w:rFonts w:ascii="Times New Roman" w:hAnsi="Times New Roman" w:cs="Times New Roman"/>
          <w:sz w:val="24"/>
          <w:szCs w:val="24"/>
          <w:lang w:val="sq-AL"/>
        </w:rPr>
        <w:t xml:space="preserve">zunë vendet e tyre në Parlament anëtarët e zgjedhur nga partitë më të mëdha opozitare </w:t>
      </w:r>
      <w:r w:rsidRPr="007922E5">
        <w:rPr>
          <w:rFonts w:ascii="Times New Roman" w:hAnsi="Times New Roman" w:cs="Times New Roman"/>
          <w:sz w:val="24"/>
          <w:szCs w:val="24"/>
          <w:lang w:val="sq-AL"/>
        </w:rPr>
        <w:t xml:space="preserve">si rezultat i zgjedhjeve të përgjithshme të vitit 2021, të cilat u mbajtën pas marrëveshjes ndërpartiake të 5 qershorit 2020. Me përmirësimin gradual të situatës së pandemisë, parlamenti iu rikthye </w:t>
      </w:r>
      <w:r w:rsidR="00E52121" w:rsidRPr="007922E5">
        <w:rPr>
          <w:rFonts w:ascii="Times New Roman" w:hAnsi="Times New Roman" w:cs="Times New Roman"/>
          <w:sz w:val="24"/>
          <w:szCs w:val="24"/>
          <w:lang w:val="sq-AL"/>
        </w:rPr>
        <w:t>aktivitetit</w:t>
      </w:r>
      <w:r w:rsidRPr="007922E5">
        <w:rPr>
          <w:rFonts w:ascii="Times New Roman" w:hAnsi="Times New Roman" w:cs="Times New Roman"/>
          <w:sz w:val="24"/>
          <w:szCs w:val="24"/>
          <w:lang w:val="sq-AL"/>
        </w:rPr>
        <w:t xml:space="preserve"> </w:t>
      </w:r>
      <w:r w:rsidR="00E52121" w:rsidRPr="007922E5">
        <w:rPr>
          <w:rFonts w:ascii="Times New Roman" w:hAnsi="Times New Roman" w:cs="Times New Roman"/>
          <w:sz w:val="24"/>
          <w:szCs w:val="24"/>
          <w:lang w:val="sq-AL"/>
        </w:rPr>
        <w:t>me pjesëmarrje fizike t</w:t>
      </w:r>
      <w:r w:rsidR="00AE0C0D" w:rsidRPr="007922E5">
        <w:rPr>
          <w:rFonts w:ascii="Times New Roman" w:hAnsi="Times New Roman" w:cs="Times New Roman"/>
          <w:sz w:val="24"/>
          <w:szCs w:val="24"/>
          <w:lang w:val="sq-AL"/>
        </w:rPr>
        <w:t>ë</w:t>
      </w:r>
      <w:r w:rsidR="00E52121" w:rsidRPr="007922E5">
        <w:rPr>
          <w:rFonts w:ascii="Times New Roman" w:hAnsi="Times New Roman" w:cs="Times New Roman"/>
          <w:sz w:val="24"/>
          <w:szCs w:val="24"/>
          <w:lang w:val="sq-AL"/>
        </w:rPr>
        <w:t xml:space="preserve"> parlamentar</w:t>
      </w:r>
      <w:r w:rsidR="00AE0C0D" w:rsidRPr="007922E5">
        <w:rPr>
          <w:rFonts w:ascii="Times New Roman" w:hAnsi="Times New Roman" w:cs="Times New Roman"/>
          <w:sz w:val="24"/>
          <w:szCs w:val="24"/>
          <w:lang w:val="sq-AL"/>
        </w:rPr>
        <w:t>ë</w:t>
      </w:r>
      <w:r w:rsidR="00E52121" w:rsidRPr="007922E5">
        <w:rPr>
          <w:rFonts w:ascii="Times New Roman" w:hAnsi="Times New Roman" w:cs="Times New Roman"/>
          <w:sz w:val="24"/>
          <w:szCs w:val="24"/>
          <w:lang w:val="sq-AL"/>
        </w:rPr>
        <w:t>ve</w:t>
      </w:r>
      <w:r w:rsidRPr="007922E5">
        <w:rPr>
          <w:rFonts w:ascii="Times New Roman" w:hAnsi="Times New Roman" w:cs="Times New Roman"/>
          <w:sz w:val="24"/>
          <w:szCs w:val="24"/>
          <w:lang w:val="sq-AL"/>
        </w:rPr>
        <w:t xml:space="preserve">. Për sa i përket reformave në lidhje me BE-në, Kuvendi arriti konsensus ndërpartiak për ndryshimet kushtetuese për zgjatjen e mandatit të organeve të vettingut </w:t>
      </w:r>
      <w:r w:rsidR="00E52121" w:rsidRPr="007922E5">
        <w:rPr>
          <w:rFonts w:ascii="Times New Roman" w:hAnsi="Times New Roman" w:cs="Times New Roman"/>
          <w:sz w:val="24"/>
          <w:szCs w:val="24"/>
          <w:lang w:val="sq-AL"/>
        </w:rPr>
        <w:t>t</w:t>
      </w:r>
      <w:r w:rsidR="00AE0C0D" w:rsidRPr="007922E5">
        <w:rPr>
          <w:rFonts w:ascii="Times New Roman" w:hAnsi="Times New Roman" w:cs="Times New Roman"/>
          <w:sz w:val="24"/>
          <w:szCs w:val="24"/>
          <w:lang w:val="sq-AL"/>
        </w:rPr>
        <w:t>ë</w:t>
      </w:r>
      <w:r w:rsidR="00E52121" w:rsidRPr="007922E5">
        <w:rPr>
          <w:rFonts w:ascii="Times New Roman" w:hAnsi="Times New Roman" w:cs="Times New Roman"/>
          <w:sz w:val="24"/>
          <w:szCs w:val="24"/>
          <w:lang w:val="sq-AL"/>
        </w:rPr>
        <w:t xml:space="preserve"> </w:t>
      </w:r>
      <w:r w:rsidRPr="007922E5">
        <w:rPr>
          <w:rFonts w:ascii="Times New Roman" w:hAnsi="Times New Roman" w:cs="Times New Roman"/>
          <w:sz w:val="24"/>
          <w:szCs w:val="24"/>
          <w:lang w:val="sq-AL"/>
        </w:rPr>
        <w:t>gjyqësor</w:t>
      </w:r>
      <w:r w:rsidR="00E52121" w:rsidRPr="007922E5">
        <w:rPr>
          <w:rFonts w:ascii="Times New Roman" w:hAnsi="Times New Roman" w:cs="Times New Roman"/>
          <w:sz w:val="24"/>
          <w:szCs w:val="24"/>
          <w:lang w:val="sq-AL"/>
        </w:rPr>
        <w:t>it</w:t>
      </w:r>
      <w:r w:rsidRPr="007922E5">
        <w:rPr>
          <w:rFonts w:ascii="Times New Roman" w:hAnsi="Times New Roman" w:cs="Times New Roman"/>
          <w:sz w:val="24"/>
          <w:szCs w:val="24"/>
          <w:lang w:val="sq-AL"/>
        </w:rPr>
        <w:t xml:space="preserve">. Kuvendi zgjodhi edhe Presidentin e ri me votat e shumicës. </w:t>
      </w:r>
      <w:r w:rsidRPr="00E31BC3">
        <w:rPr>
          <w:rFonts w:ascii="Times New Roman" w:hAnsi="Times New Roman" w:cs="Times New Roman"/>
          <w:i/>
          <w:iCs/>
          <w:sz w:val="24"/>
          <w:szCs w:val="24"/>
          <w:lang w:val="sq-AL"/>
        </w:rPr>
        <w:t xml:space="preserve">Ndarja e thellë brenda Partisë Demokratike </w:t>
      </w:r>
      <w:r w:rsidR="00E52121" w:rsidRPr="00E31BC3">
        <w:rPr>
          <w:rFonts w:ascii="Times New Roman" w:hAnsi="Times New Roman" w:cs="Times New Roman"/>
          <w:i/>
          <w:iCs/>
          <w:sz w:val="24"/>
          <w:szCs w:val="24"/>
          <w:lang w:val="sq-AL"/>
        </w:rPr>
        <w:t xml:space="preserve">si partia </w:t>
      </w:r>
      <w:r w:rsidRPr="00E31BC3">
        <w:rPr>
          <w:rFonts w:ascii="Times New Roman" w:hAnsi="Times New Roman" w:cs="Times New Roman"/>
          <w:i/>
          <w:iCs/>
          <w:sz w:val="24"/>
          <w:szCs w:val="24"/>
          <w:lang w:val="sq-AL"/>
        </w:rPr>
        <w:t xml:space="preserve">më </w:t>
      </w:r>
      <w:r w:rsidR="00E52121" w:rsidRPr="00E31BC3">
        <w:rPr>
          <w:rFonts w:ascii="Times New Roman" w:hAnsi="Times New Roman" w:cs="Times New Roman"/>
          <w:i/>
          <w:iCs/>
          <w:sz w:val="24"/>
          <w:szCs w:val="24"/>
          <w:lang w:val="sq-AL"/>
        </w:rPr>
        <w:t>e</w:t>
      </w:r>
      <w:r w:rsidRPr="00E31BC3">
        <w:rPr>
          <w:rFonts w:ascii="Times New Roman" w:hAnsi="Times New Roman" w:cs="Times New Roman"/>
          <w:i/>
          <w:iCs/>
          <w:sz w:val="24"/>
          <w:szCs w:val="24"/>
          <w:lang w:val="sq-AL"/>
        </w:rPr>
        <w:t xml:space="preserve"> madhe </w:t>
      </w:r>
      <w:r w:rsidR="00E52121" w:rsidRPr="00E31BC3">
        <w:rPr>
          <w:rFonts w:ascii="Times New Roman" w:hAnsi="Times New Roman" w:cs="Times New Roman"/>
          <w:i/>
          <w:iCs/>
          <w:sz w:val="24"/>
          <w:szCs w:val="24"/>
          <w:lang w:val="sq-AL"/>
        </w:rPr>
        <w:t>e</w:t>
      </w:r>
      <w:r w:rsidRPr="00E31BC3">
        <w:rPr>
          <w:rFonts w:ascii="Times New Roman" w:hAnsi="Times New Roman" w:cs="Times New Roman"/>
          <w:i/>
          <w:iCs/>
          <w:sz w:val="24"/>
          <w:szCs w:val="24"/>
          <w:lang w:val="sq-AL"/>
        </w:rPr>
        <w:t xml:space="preserve"> opozitës, dominoi mjedisin politik dhe ka penguar punën legjislative, siç është nxitja e reformës zgjedhore.</w:t>
      </w: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Zgjedhjet</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Në shkurt 2022, Parlamenti vendosi të ngrejë një komision parlamentar ad hoc për reformën zgjedhore, i cili synon të ndjekë rekomandimet e OSBE/ODIHR për zgjedhjet e prillit 2021 dhe kishte një mandat gjashtë mujor. Komisioni u krijua më 17 qershor. Në skadimin e mandatit të </w:t>
      </w:r>
      <w:r w:rsidR="00E31BC3">
        <w:rPr>
          <w:rFonts w:ascii="Times New Roman" w:hAnsi="Times New Roman" w:cs="Times New Roman"/>
          <w:sz w:val="24"/>
          <w:szCs w:val="24"/>
          <w:lang w:val="sq-AL"/>
        </w:rPr>
        <w:t>tij</w:t>
      </w:r>
      <w:r w:rsidRPr="007922E5">
        <w:rPr>
          <w:rFonts w:ascii="Times New Roman" w:hAnsi="Times New Roman" w:cs="Times New Roman"/>
          <w:sz w:val="24"/>
          <w:szCs w:val="24"/>
          <w:lang w:val="sq-AL"/>
        </w:rPr>
        <w:t xml:space="preserve"> në gusht 2022, </w:t>
      </w:r>
      <w:r w:rsidR="00E31BC3">
        <w:rPr>
          <w:rFonts w:ascii="Times New Roman" w:hAnsi="Times New Roman" w:cs="Times New Roman"/>
          <w:sz w:val="24"/>
          <w:szCs w:val="24"/>
          <w:lang w:val="sq-AL"/>
        </w:rPr>
        <w:t>ai</w:t>
      </w:r>
      <w:r w:rsidRPr="007922E5">
        <w:rPr>
          <w:rFonts w:ascii="Times New Roman" w:hAnsi="Times New Roman" w:cs="Times New Roman"/>
          <w:sz w:val="24"/>
          <w:szCs w:val="24"/>
          <w:lang w:val="sq-AL"/>
        </w:rPr>
        <w:t xml:space="preserve"> kishte mbajtur vetëm mbledhjen e </w:t>
      </w:r>
      <w:r w:rsidR="00E31BC3">
        <w:rPr>
          <w:rFonts w:ascii="Times New Roman" w:hAnsi="Times New Roman" w:cs="Times New Roman"/>
          <w:sz w:val="24"/>
          <w:szCs w:val="24"/>
          <w:lang w:val="sq-AL"/>
        </w:rPr>
        <w:t>tij</w:t>
      </w:r>
      <w:r w:rsidRPr="007922E5">
        <w:rPr>
          <w:rFonts w:ascii="Times New Roman" w:hAnsi="Times New Roman" w:cs="Times New Roman"/>
          <w:sz w:val="24"/>
          <w:szCs w:val="24"/>
          <w:lang w:val="sq-AL"/>
        </w:rPr>
        <w:t xml:space="preserve"> konstitu</w:t>
      </w:r>
      <w:r w:rsidR="00E52121" w:rsidRPr="007922E5">
        <w:rPr>
          <w:rFonts w:ascii="Times New Roman" w:hAnsi="Times New Roman" w:cs="Times New Roman"/>
          <w:sz w:val="24"/>
          <w:szCs w:val="24"/>
          <w:lang w:val="sq-AL"/>
        </w:rPr>
        <w:t>t</w:t>
      </w:r>
      <w:r w:rsidRPr="007922E5">
        <w:rPr>
          <w:rFonts w:ascii="Times New Roman" w:hAnsi="Times New Roman" w:cs="Times New Roman"/>
          <w:sz w:val="24"/>
          <w:szCs w:val="24"/>
          <w:lang w:val="sq-AL"/>
        </w:rPr>
        <w:t>ive.</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Gjatë periudhës së raportimit, Gjykata Kushtetuese vendosi kundër një dispozite të Kodit Zgjedhor</w:t>
      </w:r>
      <w:r w:rsidR="00623C34" w:rsidRPr="007922E5">
        <w:rPr>
          <w:rFonts w:ascii="Times New Roman" w:hAnsi="Times New Roman" w:cs="Times New Roman"/>
          <w:sz w:val="24"/>
          <w:szCs w:val="24"/>
          <w:lang w:val="sq-AL"/>
        </w:rPr>
        <w:t>,</w:t>
      </w:r>
      <w:r w:rsidRPr="007922E5">
        <w:rPr>
          <w:rFonts w:ascii="Times New Roman" w:hAnsi="Times New Roman" w:cs="Times New Roman"/>
          <w:sz w:val="24"/>
          <w:szCs w:val="24"/>
          <w:lang w:val="sq-AL"/>
        </w:rPr>
        <w:t xml:space="preserve"> sipas të cilit subjektet zgjedhore duhet të kalojnë një prag kombëtar prej 1% për të hyrë në parlament, me argumentin se diskriminon kandidatët e pavarur. Më herët, Gjykata Kushtetuese kishte vendosur shfuqizimin e dispozitës që lidhet me shpërndarjen e mandateve parlamentare në funksion të votës preferenciale. Reforma</w:t>
      </w:r>
      <w:r w:rsidR="00623C34" w:rsidRPr="007922E5">
        <w:rPr>
          <w:rFonts w:ascii="Times New Roman" w:hAnsi="Times New Roman" w:cs="Times New Roman"/>
          <w:sz w:val="24"/>
          <w:szCs w:val="24"/>
          <w:lang w:val="sq-AL"/>
        </w:rPr>
        <w:t xml:space="preserve"> e ardhshme</w:t>
      </w:r>
      <w:r w:rsidRPr="007922E5">
        <w:rPr>
          <w:rFonts w:ascii="Times New Roman" w:hAnsi="Times New Roman" w:cs="Times New Roman"/>
          <w:sz w:val="24"/>
          <w:szCs w:val="24"/>
          <w:lang w:val="sq-AL"/>
        </w:rPr>
        <w:t xml:space="preserve"> zgjedhore do të duhet të adresojë këto vendime.</w:t>
      </w:r>
    </w:p>
    <w:p w:rsidR="00E07086" w:rsidRPr="007922E5" w:rsidRDefault="00E07086"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Në përputhje me rekomandimet e ODIHR-it, Komisioni Qendror i Zgjedhjeve ka vazhduar përpjekjet për të forcuar rolin e tij mbikëqyrës mbi financimin e fushatës. Gjithashtu, KQZ ka iniciuar diskutime të nivelit të lartë për zbatimin e votimit jashtë vendit.</w:t>
      </w:r>
    </w:p>
    <w:p w:rsidR="00E07086" w:rsidRPr="007922E5" w:rsidRDefault="00E07086"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 xml:space="preserve">Më 6 mars 2022, Shqipëria zhvilloi zgjedhje të pjesshme në gjashtë bashki. Presidenti i Republikës dekretoi zgjedhjet e pjesshme më 20 janar, pas një vendimi të Gjykatës Kushtetuese për </w:t>
      </w:r>
      <w:r w:rsidRPr="007922E5">
        <w:rPr>
          <w:rFonts w:ascii="Times New Roman" w:hAnsi="Times New Roman" w:cs="Times New Roman"/>
          <w:sz w:val="24"/>
          <w:szCs w:val="24"/>
          <w:lang w:val="sq-AL"/>
        </w:rPr>
        <w:lastRenderedPageBreak/>
        <w:t>vlefshmërinë e zgjedhjeve vendore 2019. Në bashkitë Shkodër, Vorë dhe Lushnje u krijuan vende vakante pas shkarkimit të kryetarëve, në zbatim të ligjit për integritetin e të zgjedhurve. Në Durrës dhe Dibër kryebashkiakët kishin dhënë dorëheqjen dhe në Rrogozhinë kryebashkiaku kishte ndërruar jetë. Njëmbëdhjetë parti politike u regjistruan për të marrë pjesë në zgjedhjet e pjesshme, duke paraqitur 19 kandidatë, nga të cilët tre ishin gra. Votimi dhe numërimi elektronik u pilotua në një komunë dhe identifikimi biometrik i votuesve u zbatua në të gjitha qendrat e votimit. Partia Socialiste në pushtet fitoi pesë bashki, ndërsa një koalicion i dy partive opozitare fitoi një. Dy nga gjashtë kryebashkiakë janë gra. Asnjë subjekt zgjedhor nuk i kundërshtoi rezultatet. Kryetarët e sapozgjedhur do të jenë në detyrë për gati një vit, pasi zgjedhjet lokale të planifikuara rregullisht pritet të mbahen në vitin 2023.</w:t>
      </w: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Parlamenti</w:t>
      </w:r>
    </w:p>
    <w:p w:rsidR="00E07086" w:rsidRPr="00E31BC3" w:rsidRDefault="00E07086" w:rsidP="00E31BC3">
      <w:pPr>
        <w:jc w:val="both"/>
        <w:rPr>
          <w:rFonts w:ascii="Times New Roman" w:hAnsi="Times New Roman" w:cs="Times New Roman"/>
          <w:i/>
          <w:iCs/>
          <w:sz w:val="24"/>
          <w:szCs w:val="24"/>
          <w:lang w:val="sq-AL"/>
        </w:rPr>
      </w:pPr>
      <w:r w:rsidRPr="007922E5">
        <w:rPr>
          <w:rFonts w:ascii="Times New Roman" w:hAnsi="Times New Roman" w:cs="Times New Roman"/>
          <w:sz w:val="24"/>
          <w:szCs w:val="24"/>
          <w:lang w:val="sq-AL"/>
        </w:rPr>
        <w:t xml:space="preserve">Parlamenti i ri u konstituua më 10 </w:t>
      </w:r>
      <w:r w:rsidR="00D36022" w:rsidRPr="007922E5">
        <w:rPr>
          <w:rFonts w:ascii="Times New Roman" w:hAnsi="Times New Roman" w:cs="Times New Roman"/>
          <w:sz w:val="24"/>
          <w:szCs w:val="24"/>
          <w:lang w:val="sq-AL"/>
        </w:rPr>
        <w:t>S</w:t>
      </w:r>
      <w:r w:rsidRPr="007922E5">
        <w:rPr>
          <w:rFonts w:ascii="Times New Roman" w:hAnsi="Times New Roman" w:cs="Times New Roman"/>
          <w:sz w:val="24"/>
          <w:szCs w:val="24"/>
          <w:lang w:val="sq-AL"/>
        </w:rPr>
        <w:t xml:space="preserve">htator 2021, pas zgjedhjeve legjislative të 25 </w:t>
      </w:r>
      <w:r w:rsidR="00D36022" w:rsidRPr="007922E5">
        <w:rPr>
          <w:rFonts w:ascii="Times New Roman" w:hAnsi="Times New Roman" w:cs="Times New Roman"/>
          <w:sz w:val="24"/>
          <w:szCs w:val="24"/>
          <w:lang w:val="sq-AL"/>
        </w:rPr>
        <w:t>P</w:t>
      </w:r>
      <w:r w:rsidRPr="007922E5">
        <w:rPr>
          <w:rFonts w:ascii="Times New Roman" w:hAnsi="Times New Roman" w:cs="Times New Roman"/>
          <w:sz w:val="24"/>
          <w:szCs w:val="24"/>
          <w:lang w:val="sq-AL"/>
        </w:rPr>
        <w:t xml:space="preserve">rillit 2021. Në këto zgjedhje u zbatua për herë të parë votimi preferencial dhe përmes këtij mekanizmi u zgjodhën tre deputetë. Për </w:t>
      </w:r>
      <w:r w:rsidRPr="00E31BC3">
        <w:rPr>
          <w:rFonts w:ascii="Times New Roman" w:hAnsi="Times New Roman" w:cs="Times New Roman"/>
          <w:i/>
          <w:iCs/>
          <w:sz w:val="24"/>
          <w:szCs w:val="24"/>
          <w:lang w:val="sq-AL"/>
        </w:rPr>
        <w:t xml:space="preserve">më tepër, tre liderë partish fituan mandate në dy zona zgjedhore, pas një dispozite të Kodit Zgjedhor që lejon që kryetarët e partive të kandidojnë në shumë zona. Rregulli është kritikuar nga OSBE/ODIHR në raportin e tyre përfundimtar për zgjedhjet e </w:t>
      </w:r>
      <w:r w:rsidR="00D36022" w:rsidRPr="00E31BC3">
        <w:rPr>
          <w:rFonts w:ascii="Times New Roman" w:hAnsi="Times New Roman" w:cs="Times New Roman"/>
          <w:i/>
          <w:iCs/>
          <w:sz w:val="24"/>
          <w:szCs w:val="24"/>
          <w:lang w:val="sq-AL"/>
        </w:rPr>
        <w:t>P</w:t>
      </w:r>
      <w:r w:rsidRPr="00E31BC3">
        <w:rPr>
          <w:rFonts w:ascii="Times New Roman" w:hAnsi="Times New Roman" w:cs="Times New Roman"/>
          <w:i/>
          <w:iCs/>
          <w:sz w:val="24"/>
          <w:szCs w:val="24"/>
          <w:lang w:val="sq-AL"/>
        </w:rPr>
        <w:t>rillit 2021.</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Nga 140 deputetë, 50 janë gra (35%) dhe 47% e të gjithë deputetëve zgjidhen për herë të parë. Tridhjetë e tre deputetë janë nën 40 vjeç.</w:t>
      </w:r>
    </w:p>
    <w:p w:rsidR="00E07086" w:rsidRPr="007922E5" w:rsidRDefault="00E07086"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 xml:space="preserve">Në legjislaturën e re, deputetët e zgjedhur nga partitë më të mëdha opozitare zunë vendet e tyre në kontrast me heqjen dorë nga mandatet në vitin 2019. </w:t>
      </w:r>
      <w:r w:rsidRPr="00B7480E">
        <w:rPr>
          <w:rFonts w:ascii="Times New Roman" w:hAnsi="Times New Roman" w:cs="Times New Roman"/>
          <w:i/>
          <w:iCs/>
          <w:sz w:val="24"/>
          <w:szCs w:val="24"/>
          <w:lang w:val="sq-AL"/>
        </w:rPr>
        <w:t>Konflikti i brendshëm brenda partisë më të madhe opozitare (PD) ndikoi në jetën parlamentare, duke ngecur veçanërisht punën për reformën zgjedhore.</w:t>
      </w:r>
      <w:r w:rsidRPr="007922E5">
        <w:rPr>
          <w:rFonts w:ascii="Times New Roman" w:hAnsi="Times New Roman" w:cs="Times New Roman"/>
          <w:sz w:val="24"/>
          <w:szCs w:val="24"/>
          <w:lang w:val="sq-AL"/>
        </w:rPr>
        <w:t xml:space="preserve"> </w:t>
      </w:r>
      <w:r w:rsidRPr="00B7480E">
        <w:rPr>
          <w:rFonts w:ascii="Times New Roman" w:hAnsi="Times New Roman" w:cs="Times New Roman"/>
          <w:i/>
          <w:iCs/>
          <w:sz w:val="24"/>
          <w:szCs w:val="24"/>
          <w:lang w:val="sq-AL"/>
        </w:rPr>
        <w:t>Kjo ka dobësuar edhe rolin e Kuvendit në ushtrimin e funksioneve të tij kryesore kushtetuese.</w:t>
      </w:r>
      <w:r w:rsidRPr="007922E5">
        <w:rPr>
          <w:rFonts w:ascii="Times New Roman" w:hAnsi="Times New Roman" w:cs="Times New Roman"/>
          <w:sz w:val="24"/>
          <w:szCs w:val="24"/>
          <w:lang w:val="sq-AL"/>
        </w:rPr>
        <w:t xml:space="preserve"> Megjithatë, Kuvendi gjeti </w:t>
      </w:r>
      <w:r w:rsidR="00B7480E">
        <w:rPr>
          <w:rFonts w:ascii="Times New Roman" w:hAnsi="Times New Roman" w:cs="Times New Roman"/>
          <w:sz w:val="24"/>
          <w:szCs w:val="24"/>
          <w:lang w:val="sq-AL"/>
        </w:rPr>
        <w:t>mbështetjen</w:t>
      </w:r>
      <w:r w:rsidRPr="007922E5">
        <w:rPr>
          <w:rFonts w:ascii="Times New Roman" w:hAnsi="Times New Roman" w:cs="Times New Roman"/>
          <w:sz w:val="24"/>
          <w:szCs w:val="24"/>
          <w:lang w:val="sq-AL"/>
        </w:rPr>
        <w:t xml:space="preserve"> e gjerë të nevojshme për të miratuar </w:t>
      </w:r>
      <w:r w:rsidR="00B7480E">
        <w:rPr>
          <w:rFonts w:ascii="Times New Roman" w:hAnsi="Times New Roman" w:cs="Times New Roman"/>
          <w:sz w:val="24"/>
          <w:szCs w:val="24"/>
          <w:lang w:val="sq-AL"/>
        </w:rPr>
        <w:t xml:space="preserve">ndryshimet kushtetueses per </w:t>
      </w:r>
      <w:r w:rsidRPr="007922E5">
        <w:rPr>
          <w:rFonts w:ascii="Times New Roman" w:hAnsi="Times New Roman" w:cs="Times New Roman"/>
          <w:sz w:val="24"/>
          <w:szCs w:val="24"/>
          <w:lang w:val="sq-AL"/>
        </w:rPr>
        <w:t>një zgjatje me afat të kufizuar të mandatit të organeve të vettingut. Komisionet e rëndësishme vazhdojnë të drejtohen nga deputetë të opozitës.</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Gjatë periudhës raportuese, opozita kërkoi ngritjen e tre komisioneve hetimore, dy prej të cilave u miratuan. Nga këto dy, ajo që ka të bëjë me kontratat e inceneratorëve e përfund</w:t>
      </w:r>
      <w:r w:rsidR="001C296A" w:rsidRPr="007922E5">
        <w:rPr>
          <w:rFonts w:ascii="Times New Roman" w:hAnsi="Times New Roman" w:cs="Times New Roman"/>
          <w:sz w:val="24"/>
          <w:szCs w:val="24"/>
          <w:lang w:val="sq-AL"/>
        </w:rPr>
        <w:t>oi</w:t>
      </w:r>
      <w:r w:rsidRPr="007922E5">
        <w:rPr>
          <w:rFonts w:ascii="Times New Roman" w:hAnsi="Times New Roman" w:cs="Times New Roman"/>
          <w:sz w:val="24"/>
          <w:szCs w:val="24"/>
          <w:lang w:val="sq-AL"/>
        </w:rPr>
        <w:t xml:space="preserve"> punën e saj.</w:t>
      </w:r>
    </w:p>
    <w:p w:rsidR="00E07086" w:rsidRPr="00B7480E" w:rsidRDefault="00E07086" w:rsidP="00E31BC3">
      <w:pPr>
        <w:jc w:val="both"/>
        <w:rPr>
          <w:rFonts w:ascii="Times New Roman" w:hAnsi="Times New Roman" w:cs="Times New Roman"/>
          <w:i/>
          <w:iCs/>
          <w:sz w:val="24"/>
          <w:szCs w:val="24"/>
          <w:lang w:val="sq-AL"/>
        </w:rPr>
      </w:pPr>
      <w:r w:rsidRPr="007922E5">
        <w:rPr>
          <w:rFonts w:ascii="Times New Roman" w:hAnsi="Times New Roman" w:cs="Times New Roman"/>
          <w:sz w:val="24"/>
          <w:szCs w:val="24"/>
          <w:lang w:val="sq-AL"/>
        </w:rPr>
        <w:t xml:space="preserve">Lidhur me funksionin e saj mbikëqyrës, deputetët kanë paraqitur 21 kërkesa për interpelancë, nga të cilat katër </w:t>
      </w:r>
      <w:r w:rsidR="001C296A" w:rsidRPr="007922E5">
        <w:rPr>
          <w:rFonts w:ascii="Times New Roman" w:hAnsi="Times New Roman" w:cs="Times New Roman"/>
          <w:sz w:val="24"/>
          <w:szCs w:val="24"/>
          <w:lang w:val="sq-AL"/>
        </w:rPr>
        <w:t>p</w:t>
      </w:r>
      <w:r w:rsidR="00AE0C0D" w:rsidRPr="007922E5">
        <w:rPr>
          <w:rFonts w:ascii="Times New Roman" w:hAnsi="Times New Roman" w:cs="Times New Roman"/>
          <w:sz w:val="24"/>
          <w:szCs w:val="24"/>
          <w:lang w:val="sq-AL"/>
        </w:rPr>
        <w:t>ë</w:t>
      </w:r>
      <w:r w:rsidR="001C296A" w:rsidRPr="007922E5">
        <w:rPr>
          <w:rFonts w:ascii="Times New Roman" w:hAnsi="Times New Roman" w:cs="Times New Roman"/>
          <w:sz w:val="24"/>
          <w:szCs w:val="24"/>
          <w:lang w:val="sq-AL"/>
        </w:rPr>
        <w:t>r</w:t>
      </w:r>
      <w:r w:rsidRPr="007922E5">
        <w:rPr>
          <w:rFonts w:ascii="Times New Roman" w:hAnsi="Times New Roman" w:cs="Times New Roman"/>
          <w:sz w:val="24"/>
          <w:szCs w:val="24"/>
          <w:lang w:val="sq-AL"/>
        </w:rPr>
        <w:t xml:space="preserve"> kryeministri</w:t>
      </w:r>
      <w:r w:rsidR="001C296A" w:rsidRPr="007922E5">
        <w:rPr>
          <w:rFonts w:ascii="Times New Roman" w:hAnsi="Times New Roman" w:cs="Times New Roman"/>
          <w:sz w:val="24"/>
          <w:szCs w:val="24"/>
          <w:lang w:val="sq-AL"/>
        </w:rPr>
        <w:t>n</w:t>
      </w:r>
      <w:r w:rsidRPr="007922E5">
        <w:rPr>
          <w:rFonts w:ascii="Times New Roman" w:hAnsi="Times New Roman" w:cs="Times New Roman"/>
          <w:sz w:val="24"/>
          <w:szCs w:val="24"/>
          <w:lang w:val="sq-AL"/>
        </w:rPr>
        <w:t xml:space="preserve"> i cili megjithatë nuk ka marrë pjesë personalisht. </w:t>
      </w:r>
      <w:r w:rsidRPr="00B7480E">
        <w:rPr>
          <w:rFonts w:ascii="Times New Roman" w:hAnsi="Times New Roman" w:cs="Times New Roman"/>
          <w:i/>
          <w:iCs/>
          <w:sz w:val="24"/>
          <w:szCs w:val="24"/>
          <w:lang w:val="sq-AL"/>
        </w:rPr>
        <w:t>Mbikëqyrja parlamentare e punës së institucioneve të pavarura mbetet e kufizuar në shqyrtimin e raporteve të tyre vjetore.</w:t>
      </w:r>
    </w:p>
    <w:p w:rsidR="00E07086" w:rsidRPr="001A4EA7" w:rsidRDefault="00E07086" w:rsidP="00E31BC3">
      <w:pPr>
        <w:jc w:val="both"/>
        <w:rPr>
          <w:rFonts w:ascii="Times New Roman" w:hAnsi="Times New Roman" w:cs="Times New Roman"/>
          <w:i/>
          <w:iCs/>
          <w:sz w:val="24"/>
          <w:szCs w:val="24"/>
          <w:lang w:val="sq-AL"/>
        </w:rPr>
      </w:pPr>
      <w:r w:rsidRPr="001A4EA7">
        <w:rPr>
          <w:rFonts w:ascii="Times New Roman" w:hAnsi="Times New Roman" w:cs="Times New Roman"/>
          <w:i/>
          <w:iCs/>
          <w:sz w:val="24"/>
          <w:szCs w:val="24"/>
          <w:lang w:val="sq-AL"/>
        </w:rPr>
        <w:t xml:space="preserve">Nevojiten standarde më të larta etike në punimet e Kuvendit për të nxitur dialog politik më konstruktiv ndërmjet opozitës dhe </w:t>
      </w:r>
      <w:r w:rsidR="001C296A" w:rsidRPr="001A4EA7">
        <w:rPr>
          <w:rFonts w:ascii="Times New Roman" w:hAnsi="Times New Roman" w:cs="Times New Roman"/>
          <w:i/>
          <w:iCs/>
          <w:sz w:val="24"/>
          <w:szCs w:val="24"/>
          <w:lang w:val="sq-AL"/>
        </w:rPr>
        <w:t>maxhoranc</w:t>
      </w:r>
      <w:r w:rsidR="00AE0C0D" w:rsidRPr="001A4EA7">
        <w:rPr>
          <w:rFonts w:ascii="Times New Roman" w:hAnsi="Times New Roman" w:cs="Times New Roman"/>
          <w:i/>
          <w:iCs/>
          <w:sz w:val="24"/>
          <w:szCs w:val="24"/>
          <w:lang w:val="sq-AL"/>
        </w:rPr>
        <w:t>ë</w:t>
      </w:r>
      <w:r w:rsidR="001C296A" w:rsidRPr="001A4EA7">
        <w:rPr>
          <w:rFonts w:ascii="Times New Roman" w:hAnsi="Times New Roman" w:cs="Times New Roman"/>
          <w:i/>
          <w:iCs/>
          <w:sz w:val="24"/>
          <w:szCs w:val="24"/>
          <w:lang w:val="sq-AL"/>
        </w:rPr>
        <w:t>s</w:t>
      </w:r>
      <w:r w:rsidRPr="001A4EA7">
        <w:rPr>
          <w:rFonts w:ascii="Times New Roman" w:hAnsi="Times New Roman" w:cs="Times New Roman"/>
          <w:i/>
          <w:iCs/>
          <w:sz w:val="24"/>
          <w:szCs w:val="24"/>
          <w:lang w:val="sq-AL"/>
        </w:rPr>
        <w:t>.</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Për sa i përket </w:t>
      </w:r>
      <w:r w:rsidRPr="007922E5">
        <w:rPr>
          <w:rFonts w:ascii="Times New Roman" w:hAnsi="Times New Roman" w:cs="Times New Roman"/>
          <w:b/>
          <w:sz w:val="24"/>
          <w:szCs w:val="24"/>
          <w:lang w:val="sq-AL"/>
        </w:rPr>
        <w:t>rolit të Parlamentit në procesin e integrimit</w:t>
      </w:r>
      <w:r w:rsidRPr="007922E5">
        <w:rPr>
          <w:rFonts w:ascii="Times New Roman" w:hAnsi="Times New Roman" w:cs="Times New Roman"/>
          <w:sz w:val="24"/>
          <w:szCs w:val="24"/>
          <w:lang w:val="sq-AL"/>
        </w:rPr>
        <w:t xml:space="preserve"> </w:t>
      </w:r>
      <w:r w:rsidRPr="007922E5">
        <w:rPr>
          <w:rFonts w:ascii="Times New Roman" w:hAnsi="Times New Roman" w:cs="Times New Roman"/>
          <w:b/>
          <w:sz w:val="24"/>
          <w:szCs w:val="24"/>
          <w:lang w:val="sq-AL"/>
        </w:rPr>
        <w:t>në BE</w:t>
      </w:r>
      <w:r w:rsidRPr="007922E5">
        <w:rPr>
          <w:rFonts w:ascii="Times New Roman" w:hAnsi="Times New Roman" w:cs="Times New Roman"/>
          <w:sz w:val="24"/>
          <w:szCs w:val="24"/>
          <w:lang w:val="sq-AL"/>
        </w:rPr>
        <w:t>, 9 nga ligjet e miratuara në Parlament synonin përafrimin me acquis të BE-së. Këshilli Kombëtar për Integrimin Evropian ka bërë përpjekje për të konsoliduar më tej rolin e tij në çështjet e integrimit në BE.</w:t>
      </w:r>
    </w:p>
    <w:p w:rsidR="00E07086" w:rsidRPr="00842E57" w:rsidRDefault="00E07086" w:rsidP="00E31BC3">
      <w:pPr>
        <w:jc w:val="both"/>
        <w:rPr>
          <w:rFonts w:ascii="Times New Roman" w:hAnsi="Times New Roman" w:cs="Times New Roman"/>
          <w:i/>
          <w:iCs/>
          <w:sz w:val="24"/>
          <w:szCs w:val="24"/>
        </w:rPr>
      </w:pPr>
      <w:r w:rsidRPr="007922E5">
        <w:rPr>
          <w:rFonts w:ascii="Times New Roman" w:hAnsi="Times New Roman" w:cs="Times New Roman"/>
          <w:sz w:val="24"/>
          <w:szCs w:val="24"/>
          <w:lang w:val="sq-AL"/>
        </w:rPr>
        <w:t xml:space="preserve">Me përmirësimin e situatës së pandemisë, Kuvendi rifilloi takimet </w:t>
      </w:r>
      <w:r w:rsidR="001C296A" w:rsidRPr="007922E5">
        <w:rPr>
          <w:rFonts w:ascii="Times New Roman" w:hAnsi="Times New Roman" w:cs="Times New Roman"/>
          <w:sz w:val="24"/>
          <w:szCs w:val="24"/>
          <w:lang w:val="sq-AL"/>
        </w:rPr>
        <w:t>fizikisht</w:t>
      </w:r>
      <w:r w:rsidRPr="007922E5">
        <w:rPr>
          <w:rFonts w:ascii="Times New Roman" w:hAnsi="Times New Roman" w:cs="Times New Roman"/>
          <w:sz w:val="24"/>
          <w:szCs w:val="24"/>
          <w:lang w:val="sq-AL"/>
        </w:rPr>
        <w:t xml:space="preserve">. Punimet parlamentare vazhduan të transmetohen drejtpërdrejt në rrjetet sociale. Në legjislaturën e re, Kuvendi ka shtuar </w:t>
      </w:r>
      <w:r w:rsidRPr="007922E5">
        <w:rPr>
          <w:rFonts w:ascii="Times New Roman" w:hAnsi="Times New Roman" w:cs="Times New Roman"/>
          <w:sz w:val="24"/>
          <w:szCs w:val="24"/>
          <w:lang w:val="sq-AL"/>
        </w:rPr>
        <w:lastRenderedPageBreak/>
        <w:t xml:space="preserve">përpjekjet për më shumë </w:t>
      </w:r>
      <w:r w:rsidRPr="007922E5">
        <w:rPr>
          <w:rFonts w:ascii="Times New Roman" w:hAnsi="Times New Roman" w:cs="Times New Roman"/>
          <w:b/>
          <w:sz w:val="24"/>
          <w:szCs w:val="24"/>
          <w:lang w:val="sq-AL"/>
        </w:rPr>
        <w:t xml:space="preserve">transparencë </w:t>
      </w:r>
      <w:r w:rsidRPr="007922E5">
        <w:rPr>
          <w:rFonts w:ascii="Times New Roman" w:hAnsi="Times New Roman" w:cs="Times New Roman"/>
          <w:sz w:val="24"/>
          <w:szCs w:val="24"/>
          <w:lang w:val="sq-AL"/>
        </w:rPr>
        <w:t xml:space="preserve">duke ofruar më shumë të dhëna statistikore për aktivitetin parlamentar. Parlamenti zhvilloi konsultime me shoqërinë civile dhe median për standardet e transparencës, të cilat duhet të miratohen. </w:t>
      </w:r>
      <w:r w:rsidRPr="00842E57">
        <w:rPr>
          <w:rFonts w:ascii="Times New Roman" w:hAnsi="Times New Roman" w:cs="Times New Roman"/>
          <w:i/>
          <w:iCs/>
          <w:sz w:val="24"/>
          <w:szCs w:val="24"/>
          <w:lang w:val="sq-AL"/>
        </w:rPr>
        <w:t xml:space="preserve">Megjithatë, publikimi i dokumentacionit parlamentar, si procesverbalet e seancave plenare dhe mbledhjeve të komisioneve, duhet të jetë më </w:t>
      </w:r>
      <w:r w:rsidR="0089038A" w:rsidRPr="00842E57">
        <w:rPr>
          <w:rFonts w:ascii="Times New Roman" w:hAnsi="Times New Roman" w:cs="Times New Roman"/>
          <w:i/>
          <w:iCs/>
          <w:sz w:val="24"/>
          <w:szCs w:val="24"/>
          <w:lang w:val="sq-AL"/>
        </w:rPr>
        <w:t xml:space="preserve">shpejt </w:t>
      </w:r>
      <w:r w:rsidRPr="00842E57">
        <w:rPr>
          <w:rFonts w:ascii="Times New Roman" w:hAnsi="Times New Roman" w:cs="Times New Roman"/>
          <w:i/>
          <w:iCs/>
          <w:sz w:val="24"/>
          <w:szCs w:val="24"/>
          <w:lang w:val="sq-AL"/>
        </w:rPr>
        <w:t xml:space="preserve">në kohë dhe më </w:t>
      </w:r>
      <w:r w:rsidR="0089038A" w:rsidRPr="00842E57">
        <w:rPr>
          <w:rFonts w:ascii="Times New Roman" w:hAnsi="Times New Roman" w:cs="Times New Roman"/>
          <w:i/>
          <w:iCs/>
          <w:sz w:val="24"/>
          <w:szCs w:val="24"/>
          <w:lang w:val="sq-AL"/>
        </w:rPr>
        <w:t>i aksesuesh</w:t>
      </w:r>
      <w:r w:rsidR="00AE0C0D" w:rsidRPr="00842E57">
        <w:rPr>
          <w:rFonts w:ascii="Times New Roman" w:hAnsi="Times New Roman" w:cs="Times New Roman"/>
          <w:i/>
          <w:iCs/>
          <w:sz w:val="24"/>
          <w:szCs w:val="24"/>
          <w:lang w:val="sq-AL"/>
        </w:rPr>
        <w:t>ë</w:t>
      </w:r>
      <w:r w:rsidR="0089038A" w:rsidRPr="00842E57">
        <w:rPr>
          <w:rFonts w:ascii="Times New Roman" w:hAnsi="Times New Roman" w:cs="Times New Roman"/>
          <w:i/>
          <w:iCs/>
          <w:sz w:val="24"/>
          <w:szCs w:val="24"/>
          <w:lang w:val="sq-AL"/>
        </w:rPr>
        <w:t>m</w:t>
      </w:r>
      <w:r w:rsidRPr="00842E57">
        <w:rPr>
          <w:rFonts w:ascii="Times New Roman" w:hAnsi="Times New Roman" w:cs="Times New Roman"/>
          <w:i/>
          <w:iCs/>
          <w:sz w:val="24"/>
          <w:szCs w:val="24"/>
          <w:lang w:val="sq-AL"/>
        </w:rPr>
        <w:t xml:space="preserve"> për përdoruesit. Konsultimet publike me shoqërinë civile dhe grupet e interesit mbetën formale.</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Më 4 qershor 2022, Kuvendi zgjodhi Presidentin e ri të Republikës, </w:t>
      </w:r>
      <w:r w:rsidR="0089038A" w:rsidRPr="007922E5">
        <w:rPr>
          <w:rFonts w:ascii="Times New Roman" w:hAnsi="Times New Roman" w:cs="Times New Roman"/>
          <w:sz w:val="24"/>
          <w:szCs w:val="24"/>
          <w:lang w:val="sq-AL"/>
        </w:rPr>
        <w:t>Z</w:t>
      </w:r>
      <w:r w:rsidRPr="007922E5">
        <w:rPr>
          <w:rFonts w:ascii="Times New Roman" w:hAnsi="Times New Roman" w:cs="Times New Roman"/>
          <w:sz w:val="24"/>
          <w:szCs w:val="24"/>
          <w:lang w:val="sq-AL"/>
        </w:rPr>
        <w:t xml:space="preserve">. Bajram Begaj, ish-Shef i </w:t>
      </w:r>
      <w:r w:rsidR="0089038A" w:rsidRPr="007922E5">
        <w:rPr>
          <w:rFonts w:ascii="Times New Roman" w:hAnsi="Times New Roman" w:cs="Times New Roman"/>
          <w:sz w:val="24"/>
          <w:szCs w:val="24"/>
          <w:lang w:val="sq-AL"/>
        </w:rPr>
        <w:t>Shtabit</w:t>
      </w:r>
      <w:r w:rsidRPr="007922E5">
        <w:rPr>
          <w:rFonts w:ascii="Times New Roman" w:hAnsi="Times New Roman" w:cs="Times New Roman"/>
          <w:sz w:val="24"/>
          <w:szCs w:val="24"/>
          <w:lang w:val="sq-AL"/>
        </w:rPr>
        <w:t xml:space="preserve">, pa mbështetjen e opozitës, e cila refuzoi të votonte. Z. Begaj, kandidati i vetëm, u zgjodh në raundin e katërt me shumicë të thjeshtë votash, pasi tre raundet e para që kërkonin një shumicë të cilësuar prej 3/5 e deputetëve dështuan. Pak para votimit në Kuvend, Presidenti në detyrë e liroi </w:t>
      </w:r>
      <w:r w:rsidR="0089038A" w:rsidRPr="007922E5">
        <w:rPr>
          <w:rFonts w:ascii="Times New Roman" w:hAnsi="Times New Roman" w:cs="Times New Roman"/>
          <w:sz w:val="24"/>
          <w:szCs w:val="24"/>
          <w:lang w:val="sq-AL"/>
        </w:rPr>
        <w:t>Z</w:t>
      </w:r>
      <w:r w:rsidRPr="007922E5">
        <w:rPr>
          <w:rFonts w:ascii="Times New Roman" w:hAnsi="Times New Roman" w:cs="Times New Roman"/>
          <w:sz w:val="24"/>
          <w:szCs w:val="24"/>
          <w:lang w:val="sq-AL"/>
        </w:rPr>
        <w:t>. Begaj nga Forcat e Armatosura.</w:t>
      </w:r>
    </w:p>
    <w:p w:rsidR="00E07086" w:rsidRPr="007922E5" w:rsidRDefault="00E07086"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Kuvendi zgjodhi gjithashtu Guvernatorin në detyrë të Bankës së Shqipërisë për një mandat të dytë, plotës</w:t>
      </w:r>
      <w:r w:rsidR="0089038A" w:rsidRPr="007922E5">
        <w:rPr>
          <w:rFonts w:ascii="Times New Roman" w:hAnsi="Times New Roman" w:cs="Times New Roman"/>
          <w:sz w:val="24"/>
          <w:szCs w:val="24"/>
          <w:lang w:val="sq-AL"/>
        </w:rPr>
        <w:t>oi</w:t>
      </w:r>
      <w:r w:rsidRPr="007922E5">
        <w:rPr>
          <w:rFonts w:ascii="Times New Roman" w:hAnsi="Times New Roman" w:cs="Times New Roman"/>
          <w:sz w:val="24"/>
          <w:szCs w:val="24"/>
          <w:lang w:val="sq-AL"/>
        </w:rPr>
        <w:t xml:space="preserve"> vendet vakante në Autoritetin e Mediave Audio-Vizuale (AMA) dhe në bordin drejtues të Transmetuesit Kombëtar, pavarësisht vonesave të konsiderueshme. U mbajtën seanca dëgjimore me kandidatët për pozi</w:t>
      </w:r>
      <w:r w:rsidR="0089038A" w:rsidRPr="007922E5">
        <w:rPr>
          <w:rFonts w:ascii="Times New Roman" w:hAnsi="Times New Roman" w:cs="Times New Roman"/>
          <w:sz w:val="24"/>
          <w:szCs w:val="24"/>
          <w:lang w:val="sq-AL"/>
        </w:rPr>
        <w:t>cionin</w:t>
      </w:r>
      <w:r w:rsidRPr="007922E5">
        <w:rPr>
          <w:rFonts w:ascii="Times New Roman" w:hAnsi="Times New Roman" w:cs="Times New Roman"/>
          <w:sz w:val="24"/>
          <w:szCs w:val="24"/>
          <w:lang w:val="sq-AL"/>
        </w:rPr>
        <w:t xml:space="preserve"> e Avokatit të Popullit, por votimi u shty për pas periudhës raportuese. Kuvendi zgjodhi edhe kryetarin e ri të Autoritetit të Konkurrencës, pa zhvilluar seancë dëgjimore me kandidatin.</w:t>
      </w:r>
    </w:p>
    <w:p w:rsidR="00E07086" w:rsidRPr="007922E5" w:rsidRDefault="00E07086" w:rsidP="00E07086">
      <w:pPr>
        <w:rPr>
          <w:rFonts w:ascii="Times New Roman" w:hAnsi="Times New Roman" w:cs="Times New Roman"/>
          <w:b/>
          <w:sz w:val="24"/>
          <w:szCs w:val="24"/>
          <w:lang w:val="sq-AL"/>
        </w:rPr>
      </w:pPr>
      <w:r w:rsidRPr="007922E5">
        <w:rPr>
          <w:rFonts w:ascii="Times New Roman" w:hAnsi="Times New Roman" w:cs="Times New Roman"/>
          <w:b/>
          <w:sz w:val="24"/>
          <w:szCs w:val="24"/>
          <w:lang w:val="sq-AL"/>
        </w:rPr>
        <w:t>Qeverisja</w:t>
      </w:r>
    </w:p>
    <w:p w:rsidR="00E07086" w:rsidRPr="001679EE" w:rsidRDefault="00E07086" w:rsidP="0057330B">
      <w:pPr>
        <w:shd w:val="clear" w:color="auto" w:fill="AEAAAA" w:themeFill="background2" w:themeFillShade="BF"/>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Qeveria shqiptare ka vazhduar të ruajë fokusin e përgjithshëm në reformat në rrugën e vendit drejt BE-së, pavarësisht sfidës për të adresuar pasojat ekonomike dhe sociale të goditjes së trefishtë të tërmetit të vitit 2019, pandemisë COVID-19 dhe së fundmi, të luftës së Rusisë</w:t>
      </w:r>
      <w:r w:rsidR="0089038A" w:rsidRPr="007922E5">
        <w:rPr>
          <w:rFonts w:ascii="Times New Roman" w:hAnsi="Times New Roman" w:cs="Times New Roman"/>
          <w:sz w:val="24"/>
          <w:szCs w:val="24"/>
          <w:lang w:val="sq-AL"/>
        </w:rPr>
        <w:t xml:space="preserve"> me a</w:t>
      </w:r>
      <w:r w:rsidRPr="007922E5">
        <w:rPr>
          <w:rFonts w:ascii="Times New Roman" w:hAnsi="Times New Roman" w:cs="Times New Roman"/>
          <w:sz w:val="24"/>
          <w:szCs w:val="24"/>
          <w:lang w:val="sq-AL"/>
        </w:rPr>
        <w:t>gresioni</w:t>
      </w:r>
      <w:r w:rsidR="0089038A" w:rsidRPr="007922E5">
        <w:rPr>
          <w:rFonts w:ascii="Times New Roman" w:hAnsi="Times New Roman" w:cs="Times New Roman"/>
          <w:sz w:val="24"/>
          <w:szCs w:val="24"/>
          <w:lang w:val="sq-AL"/>
        </w:rPr>
        <w:t>n</w:t>
      </w:r>
      <w:r w:rsidRPr="007922E5">
        <w:rPr>
          <w:rFonts w:ascii="Times New Roman" w:hAnsi="Times New Roman" w:cs="Times New Roman"/>
          <w:sz w:val="24"/>
          <w:szCs w:val="24"/>
          <w:lang w:val="sq-AL"/>
        </w:rPr>
        <w:t xml:space="preserve"> kundër Ukrainës. </w:t>
      </w:r>
      <w:r w:rsidRPr="001679EE">
        <w:rPr>
          <w:rFonts w:ascii="Times New Roman" w:hAnsi="Times New Roman" w:cs="Times New Roman"/>
          <w:b/>
          <w:bCs/>
          <w:i/>
          <w:iCs/>
          <w:sz w:val="24"/>
          <w:szCs w:val="24"/>
          <w:lang w:val="sq-AL"/>
        </w:rPr>
        <w:t>Qeveria duhet të vazhdojë, përmes prioriteteve të politikave dhe komunikimit të saj, të fokusohet fort në avancimin e agjendës së reformave të BE-së, së bashku me opozitën dhe të gjitha segmentet e shoqërisë</w:t>
      </w:r>
      <w:r w:rsidRPr="001679EE">
        <w:rPr>
          <w:rFonts w:ascii="Times New Roman" w:hAnsi="Times New Roman" w:cs="Times New Roman"/>
          <w:b/>
          <w:bCs/>
          <w:sz w:val="24"/>
          <w:szCs w:val="24"/>
          <w:lang w:val="sq-AL"/>
        </w:rPr>
        <w:t>.</w:t>
      </w:r>
      <w:r w:rsidRPr="007922E5">
        <w:rPr>
          <w:rFonts w:ascii="Times New Roman" w:hAnsi="Times New Roman" w:cs="Times New Roman"/>
          <w:sz w:val="24"/>
          <w:szCs w:val="24"/>
          <w:lang w:val="sq-AL"/>
        </w:rPr>
        <w:t xml:space="preserve"> Kur bëhet fjalë për përgatitjet për negociatat e anëtarësimit, ekziston </w:t>
      </w:r>
      <w:r w:rsidRPr="001679EE">
        <w:rPr>
          <w:rFonts w:ascii="Times New Roman" w:hAnsi="Times New Roman" w:cs="Times New Roman"/>
          <w:b/>
          <w:bCs/>
          <w:i/>
          <w:iCs/>
          <w:sz w:val="24"/>
          <w:szCs w:val="24"/>
          <w:lang w:val="sq-AL"/>
        </w:rPr>
        <w:t>nevoja për të përmirësuar komunikimin, koordinimin dhe ekspertizën brenda administratës, si dhe kontrollet e përputhshmërisë së BE-së për të gjithë projektligjet.</w:t>
      </w:r>
    </w:p>
    <w:p w:rsidR="00E07086" w:rsidRPr="001679EE" w:rsidRDefault="00E07086" w:rsidP="0057330B">
      <w:pPr>
        <w:shd w:val="clear" w:color="auto" w:fill="AEAAAA" w:themeFill="background2" w:themeFillShade="BF"/>
        <w:jc w:val="both"/>
        <w:rPr>
          <w:rFonts w:ascii="Times New Roman" w:hAnsi="Times New Roman" w:cs="Times New Roman"/>
          <w:b/>
          <w:bCs/>
          <w:sz w:val="24"/>
          <w:szCs w:val="24"/>
        </w:rPr>
      </w:pPr>
      <w:r w:rsidRPr="007922E5">
        <w:rPr>
          <w:rFonts w:ascii="Times New Roman" w:hAnsi="Times New Roman" w:cs="Times New Roman"/>
          <w:sz w:val="24"/>
          <w:szCs w:val="24"/>
          <w:lang w:val="sq-AL"/>
        </w:rPr>
        <w:t xml:space="preserve">Krijimi ose përforcimi i disa agjencive qeveritare rreth Zyrës së Kryeministrit (Agjencia për bashkëqeverisje, Agjencia për Media dhe Informacion, Agjencia për Programim Strategjik dhe Koordinim të Ndihmës - SASPAC) </w:t>
      </w:r>
      <w:r w:rsidRPr="001679EE">
        <w:rPr>
          <w:rFonts w:ascii="Times New Roman" w:hAnsi="Times New Roman" w:cs="Times New Roman"/>
          <w:b/>
          <w:bCs/>
          <w:sz w:val="24"/>
          <w:szCs w:val="24"/>
          <w:lang w:val="sq-AL"/>
        </w:rPr>
        <w:t xml:space="preserve">pa një kornizë gjithëpërfshirëse drejtuese dhe pa një vëmendje sistematike ndaj mbikëqyrjes dhe raportimit, ngre </w:t>
      </w:r>
      <w:r w:rsidR="00F45099" w:rsidRPr="001679EE">
        <w:rPr>
          <w:rFonts w:ascii="Times New Roman" w:hAnsi="Times New Roman" w:cs="Times New Roman"/>
          <w:b/>
          <w:bCs/>
          <w:sz w:val="24"/>
          <w:szCs w:val="24"/>
          <w:lang w:val="sq-AL"/>
        </w:rPr>
        <w:t>shqet</w:t>
      </w:r>
      <w:r w:rsidR="00AE0C0D" w:rsidRPr="001679EE">
        <w:rPr>
          <w:rFonts w:ascii="Times New Roman" w:hAnsi="Times New Roman" w:cs="Times New Roman"/>
          <w:b/>
          <w:bCs/>
          <w:sz w:val="24"/>
          <w:szCs w:val="24"/>
          <w:lang w:val="sq-AL"/>
        </w:rPr>
        <w:t>ë</w:t>
      </w:r>
      <w:r w:rsidR="00F45099" w:rsidRPr="001679EE">
        <w:rPr>
          <w:rFonts w:ascii="Times New Roman" w:hAnsi="Times New Roman" w:cs="Times New Roman"/>
          <w:b/>
          <w:bCs/>
          <w:sz w:val="24"/>
          <w:szCs w:val="24"/>
          <w:lang w:val="sq-AL"/>
        </w:rPr>
        <w:t>sim</w:t>
      </w:r>
      <w:r w:rsidRPr="001679EE">
        <w:rPr>
          <w:rFonts w:ascii="Times New Roman" w:hAnsi="Times New Roman" w:cs="Times New Roman"/>
          <w:b/>
          <w:bCs/>
          <w:sz w:val="24"/>
          <w:szCs w:val="24"/>
          <w:lang w:val="sq-AL"/>
        </w:rPr>
        <w:t xml:space="preserve"> në lidhje me koordinimin efektiv dhe ofrimin e shërbimeve të organeve të administratës publike.</w:t>
      </w:r>
    </w:p>
    <w:p w:rsidR="00E07086" w:rsidRPr="00C03341" w:rsidRDefault="00E07086" w:rsidP="00E31BC3">
      <w:pPr>
        <w:jc w:val="both"/>
        <w:rPr>
          <w:rFonts w:ascii="Times New Roman" w:hAnsi="Times New Roman" w:cs="Times New Roman"/>
          <w:b/>
          <w:bCs/>
          <w:sz w:val="24"/>
          <w:szCs w:val="24"/>
        </w:rPr>
      </w:pPr>
      <w:r w:rsidRPr="007922E5">
        <w:rPr>
          <w:rFonts w:ascii="Times New Roman" w:hAnsi="Times New Roman" w:cs="Times New Roman"/>
          <w:sz w:val="24"/>
          <w:szCs w:val="24"/>
          <w:lang w:val="sq-AL"/>
        </w:rPr>
        <w:t xml:space="preserve">Pas Konferencës së parë Ndërqeveritare për negociatat e anëtarësimit të korrikut 2022, qeveria </w:t>
      </w:r>
      <w:r w:rsidR="00AC71C8" w:rsidRPr="007922E5">
        <w:rPr>
          <w:rFonts w:ascii="Times New Roman" w:hAnsi="Times New Roman" w:cs="Times New Roman"/>
          <w:sz w:val="24"/>
          <w:szCs w:val="24"/>
          <w:lang w:val="sq-AL"/>
        </w:rPr>
        <w:t xml:space="preserve">zgjodhi </w:t>
      </w:r>
      <w:r w:rsidRPr="007922E5">
        <w:rPr>
          <w:rFonts w:ascii="Times New Roman" w:hAnsi="Times New Roman" w:cs="Times New Roman"/>
          <w:sz w:val="24"/>
          <w:szCs w:val="24"/>
          <w:lang w:val="sq-AL"/>
        </w:rPr>
        <w:t xml:space="preserve">një Kryenegociator të ri, në nivel Ministër Shteti dhe me burime të shtuara. </w:t>
      </w:r>
      <w:r w:rsidRPr="00C03341">
        <w:rPr>
          <w:rFonts w:ascii="Times New Roman" w:hAnsi="Times New Roman" w:cs="Times New Roman"/>
          <w:b/>
          <w:bCs/>
          <w:i/>
          <w:iCs/>
          <w:sz w:val="24"/>
          <w:szCs w:val="24"/>
          <w:lang w:val="sq-AL"/>
        </w:rPr>
        <w:t xml:space="preserve">Në kuadrin e negociatave të anëtarësimit, ekziston nevoja për të arritur një koordinim të </w:t>
      </w:r>
      <w:r w:rsidR="003C7E2D" w:rsidRPr="00C03341">
        <w:rPr>
          <w:rFonts w:ascii="Times New Roman" w:hAnsi="Times New Roman" w:cs="Times New Roman"/>
          <w:b/>
          <w:bCs/>
          <w:i/>
          <w:iCs/>
          <w:sz w:val="24"/>
          <w:szCs w:val="24"/>
          <w:lang w:val="sq-AL"/>
        </w:rPr>
        <w:t>mire</w:t>
      </w:r>
      <w:r w:rsidRPr="00C03341">
        <w:rPr>
          <w:rFonts w:ascii="Times New Roman" w:hAnsi="Times New Roman" w:cs="Times New Roman"/>
          <w:b/>
          <w:bCs/>
          <w:i/>
          <w:iCs/>
          <w:sz w:val="24"/>
          <w:szCs w:val="24"/>
          <w:lang w:val="sq-AL"/>
        </w:rPr>
        <w:t xml:space="preserve"> ndërmjet organeve vartëse dhe ministrive të linjës, për të rritur kapacitetet e agjencive që punojnë drejt integrimit në BE dhe për të siguruar përafrimin e Planit Kombëtar për Integrimin Evropian me strategjitë sektoriale</w:t>
      </w:r>
      <w:r w:rsidRPr="00C03341">
        <w:rPr>
          <w:rFonts w:ascii="Times New Roman" w:hAnsi="Times New Roman" w:cs="Times New Roman"/>
          <w:b/>
          <w:bCs/>
          <w:sz w:val="24"/>
          <w:szCs w:val="24"/>
          <w:lang w:val="sq-AL"/>
        </w:rPr>
        <w:t>.</w:t>
      </w:r>
      <w:r w:rsidRPr="007922E5">
        <w:rPr>
          <w:rFonts w:ascii="Times New Roman" w:hAnsi="Times New Roman" w:cs="Times New Roman"/>
          <w:sz w:val="24"/>
          <w:szCs w:val="24"/>
          <w:lang w:val="sq-AL"/>
        </w:rPr>
        <w:t xml:space="preserve"> Strukturat e integrimit në BE brenda qeverisë tashmë ishin modifikuar ndjeshëm në tetor 2021, pas vendimit për krijimin e një agjencie të re për koordinimin e donatorëve, Agjencinë Shtetërore për Programimin Strategjik dhe Koordinimin e Asistencës (SASPAC). Kreu i kësaj agjencie të re mori rolin e Koordinatorit Kombëtar të IPA-s, funksion ky </w:t>
      </w:r>
      <w:r w:rsidRPr="007922E5">
        <w:rPr>
          <w:rFonts w:ascii="Times New Roman" w:hAnsi="Times New Roman" w:cs="Times New Roman"/>
          <w:sz w:val="24"/>
          <w:szCs w:val="24"/>
          <w:lang w:val="sq-AL"/>
        </w:rPr>
        <w:lastRenderedPageBreak/>
        <w:t xml:space="preserve">i kryer deri tani drejtpërdrejt nga Kryenegociatori i mëparshëm për anëtarësimin e Shqipërisë në BE. Sipas strukturës së re, drejtimi politik, planifikimi strategjik dhe koordinimi i çështjeve të lidhura me BE-në ndahen midis Ministrisë për Evropën dhe Punëve të Jashtme, Ministrit të Shtetit dhe Kryenegociatorit dhe SASPAC. </w:t>
      </w:r>
      <w:r w:rsidRPr="00C03341">
        <w:rPr>
          <w:rFonts w:ascii="Times New Roman" w:hAnsi="Times New Roman" w:cs="Times New Roman"/>
          <w:b/>
          <w:bCs/>
          <w:i/>
          <w:iCs/>
          <w:sz w:val="24"/>
          <w:szCs w:val="24"/>
          <w:lang w:val="sq-AL"/>
        </w:rPr>
        <w:t xml:space="preserve">Si një </w:t>
      </w:r>
      <w:r w:rsidR="00A66644" w:rsidRPr="00C03341">
        <w:rPr>
          <w:rFonts w:ascii="Times New Roman" w:hAnsi="Times New Roman" w:cs="Times New Roman"/>
          <w:b/>
          <w:bCs/>
          <w:i/>
          <w:iCs/>
          <w:sz w:val="24"/>
          <w:szCs w:val="24"/>
          <w:lang w:val="sq-AL"/>
        </w:rPr>
        <w:t>strukture e re</w:t>
      </w:r>
      <w:r w:rsidRPr="00C03341">
        <w:rPr>
          <w:rFonts w:ascii="Times New Roman" w:hAnsi="Times New Roman" w:cs="Times New Roman"/>
          <w:b/>
          <w:bCs/>
          <w:i/>
          <w:iCs/>
          <w:sz w:val="24"/>
          <w:szCs w:val="24"/>
          <w:lang w:val="sq-AL"/>
        </w:rPr>
        <w:t xml:space="preserve">, SASPAC duhet të sigurojë një koordinim më sistematik për integrimin në BE dhe ndihmën e BE-së me Njësitë IPA, Njësinë Qendrore të Financave dhe Kontratave (CFCU) dhe njësitë e qeverisjes vendore. Duhet të sigurohet </w:t>
      </w:r>
      <w:r w:rsidR="00AC71C8" w:rsidRPr="00C03341">
        <w:rPr>
          <w:rFonts w:ascii="Times New Roman" w:hAnsi="Times New Roman" w:cs="Times New Roman"/>
          <w:b/>
          <w:bCs/>
          <w:i/>
          <w:iCs/>
          <w:sz w:val="24"/>
          <w:szCs w:val="24"/>
          <w:lang w:val="sq-AL"/>
        </w:rPr>
        <w:t>nj</w:t>
      </w:r>
      <w:r w:rsidR="00AE0C0D" w:rsidRPr="00C03341">
        <w:rPr>
          <w:rFonts w:ascii="Times New Roman" w:hAnsi="Times New Roman" w:cs="Times New Roman"/>
          <w:b/>
          <w:bCs/>
          <w:i/>
          <w:iCs/>
          <w:sz w:val="24"/>
          <w:szCs w:val="24"/>
          <w:lang w:val="sq-AL"/>
        </w:rPr>
        <w:t>ë</w:t>
      </w:r>
      <w:r w:rsidR="00AC71C8" w:rsidRPr="00C03341">
        <w:rPr>
          <w:rFonts w:ascii="Times New Roman" w:hAnsi="Times New Roman" w:cs="Times New Roman"/>
          <w:b/>
          <w:bCs/>
          <w:i/>
          <w:iCs/>
          <w:sz w:val="24"/>
          <w:szCs w:val="24"/>
          <w:lang w:val="sq-AL"/>
        </w:rPr>
        <w:t xml:space="preserve"> </w:t>
      </w:r>
      <w:r w:rsidRPr="00C03341">
        <w:rPr>
          <w:rFonts w:ascii="Times New Roman" w:hAnsi="Times New Roman" w:cs="Times New Roman"/>
          <w:b/>
          <w:bCs/>
          <w:i/>
          <w:iCs/>
          <w:sz w:val="24"/>
          <w:szCs w:val="24"/>
          <w:lang w:val="sq-AL"/>
        </w:rPr>
        <w:t xml:space="preserve">bashkëpunim </w:t>
      </w:r>
      <w:r w:rsidR="00AC71C8" w:rsidRPr="00C03341">
        <w:rPr>
          <w:rFonts w:ascii="Times New Roman" w:hAnsi="Times New Roman" w:cs="Times New Roman"/>
          <w:b/>
          <w:bCs/>
          <w:i/>
          <w:iCs/>
          <w:sz w:val="24"/>
          <w:szCs w:val="24"/>
          <w:lang w:val="sq-AL"/>
        </w:rPr>
        <w:t>me nivel t</w:t>
      </w:r>
      <w:r w:rsidR="00AE0C0D" w:rsidRPr="00C03341">
        <w:rPr>
          <w:rFonts w:ascii="Times New Roman" w:hAnsi="Times New Roman" w:cs="Times New Roman"/>
          <w:b/>
          <w:bCs/>
          <w:i/>
          <w:iCs/>
          <w:sz w:val="24"/>
          <w:szCs w:val="24"/>
          <w:lang w:val="sq-AL"/>
        </w:rPr>
        <w:t>ë</w:t>
      </w:r>
      <w:r w:rsidR="00AC71C8" w:rsidRPr="00C03341">
        <w:rPr>
          <w:rFonts w:ascii="Times New Roman" w:hAnsi="Times New Roman" w:cs="Times New Roman"/>
          <w:b/>
          <w:bCs/>
          <w:i/>
          <w:iCs/>
          <w:sz w:val="24"/>
          <w:szCs w:val="24"/>
          <w:lang w:val="sq-AL"/>
        </w:rPr>
        <w:t xml:space="preserve"> lart</w:t>
      </w:r>
      <w:r w:rsidR="00AE0C0D" w:rsidRPr="00C03341">
        <w:rPr>
          <w:rFonts w:ascii="Times New Roman" w:hAnsi="Times New Roman" w:cs="Times New Roman"/>
          <w:b/>
          <w:bCs/>
          <w:i/>
          <w:iCs/>
          <w:sz w:val="24"/>
          <w:szCs w:val="24"/>
          <w:lang w:val="sq-AL"/>
        </w:rPr>
        <w:t>ë</w:t>
      </w:r>
      <w:r w:rsidR="00AC71C8" w:rsidRPr="00C03341">
        <w:rPr>
          <w:rFonts w:ascii="Times New Roman" w:hAnsi="Times New Roman" w:cs="Times New Roman"/>
          <w:b/>
          <w:bCs/>
          <w:i/>
          <w:iCs/>
          <w:sz w:val="24"/>
          <w:szCs w:val="24"/>
          <w:lang w:val="sq-AL"/>
        </w:rPr>
        <w:t xml:space="preserve"> </w:t>
      </w:r>
      <w:r w:rsidRPr="00C03341">
        <w:rPr>
          <w:rFonts w:ascii="Times New Roman" w:hAnsi="Times New Roman" w:cs="Times New Roman"/>
          <w:b/>
          <w:bCs/>
          <w:i/>
          <w:iCs/>
          <w:sz w:val="24"/>
          <w:szCs w:val="24"/>
          <w:lang w:val="sq-AL"/>
        </w:rPr>
        <w:t>ekspertiz</w:t>
      </w:r>
      <w:r w:rsidR="00AC71C8" w:rsidRPr="00C03341">
        <w:rPr>
          <w:rFonts w:ascii="Times New Roman" w:hAnsi="Times New Roman" w:cs="Times New Roman"/>
          <w:b/>
          <w:bCs/>
          <w:i/>
          <w:iCs/>
          <w:sz w:val="24"/>
          <w:szCs w:val="24"/>
          <w:lang w:val="sq-AL"/>
        </w:rPr>
        <w:t>e</w:t>
      </w:r>
      <w:r w:rsidRPr="00C03341">
        <w:rPr>
          <w:rFonts w:ascii="Times New Roman" w:hAnsi="Times New Roman" w:cs="Times New Roman"/>
          <w:b/>
          <w:bCs/>
          <w:i/>
          <w:iCs/>
          <w:sz w:val="24"/>
          <w:szCs w:val="24"/>
          <w:lang w:val="sq-AL"/>
        </w:rPr>
        <w:t xml:space="preserve"> ndërmjet organeve kombëtare përgjegjëse për të lehtësuar zbatimin e suksesshëm të programeve IPA, përfshirë IPARD.</w:t>
      </w:r>
    </w:p>
    <w:p w:rsidR="00E07086" w:rsidRPr="001679EE" w:rsidRDefault="00E07086"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Në vitin 2021 është bërë progres në monitorimin e zbatimit të Planit Kombëtar për Integrimin Evropian dhe plani i ri për 2022-2024 është miratuar në shkurt 2022 dhe po monitorohet në baza javore. Në maj 2022, </w:t>
      </w:r>
      <w:r w:rsidR="00AC71C8" w:rsidRPr="007922E5">
        <w:rPr>
          <w:rFonts w:ascii="Times New Roman" w:hAnsi="Times New Roman" w:cs="Times New Roman"/>
          <w:sz w:val="24"/>
          <w:szCs w:val="24"/>
          <w:lang w:val="sq-AL"/>
        </w:rPr>
        <w:t xml:space="preserve">me një njoftim të shkurtër </w:t>
      </w:r>
      <w:r w:rsidRPr="007922E5">
        <w:rPr>
          <w:rFonts w:ascii="Times New Roman" w:hAnsi="Times New Roman" w:cs="Times New Roman"/>
          <w:sz w:val="24"/>
          <w:szCs w:val="24"/>
          <w:lang w:val="sq-AL"/>
        </w:rPr>
        <w:t xml:space="preserve">qeveria vendosi të mbyllë të gjitha zyrat kryesore që ofrojnë shërbime administrative kombëtare në nivel lokal dhe vendosi të </w:t>
      </w:r>
      <w:r w:rsidR="00AC71C8" w:rsidRPr="007922E5">
        <w:rPr>
          <w:rFonts w:ascii="Times New Roman" w:hAnsi="Times New Roman" w:cs="Times New Roman"/>
          <w:sz w:val="24"/>
          <w:szCs w:val="24"/>
          <w:lang w:val="sq-AL"/>
        </w:rPr>
        <w:t>kaloj</w:t>
      </w:r>
      <w:r w:rsidR="00AE0C0D" w:rsidRPr="007922E5">
        <w:rPr>
          <w:rFonts w:ascii="Times New Roman" w:hAnsi="Times New Roman" w:cs="Times New Roman"/>
          <w:sz w:val="24"/>
          <w:szCs w:val="24"/>
          <w:lang w:val="sq-AL"/>
        </w:rPr>
        <w:t>ë</w:t>
      </w:r>
      <w:r w:rsidR="00AC71C8" w:rsidRPr="007922E5">
        <w:rPr>
          <w:rFonts w:ascii="Times New Roman" w:hAnsi="Times New Roman" w:cs="Times New Roman"/>
          <w:sz w:val="24"/>
          <w:szCs w:val="24"/>
          <w:lang w:val="sq-AL"/>
        </w:rPr>
        <w:t xml:space="preserve"> n</w:t>
      </w:r>
      <w:r w:rsidR="00AE0C0D" w:rsidRPr="007922E5">
        <w:rPr>
          <w:rFonts w:ascii="Times New Roman" w:hAnsi="Times New Roman" w:cs="Times New Roman"/>
          <w:sz w:val="24"/>
          <w:szCs w:val="24"/>
          <w:lang w:val="sq-AL"/>
        </w:rPr>
        <w:t>ë</w:t>
      </w:r>
      <w:r w:rsidR="00AC71C8" w:rsidRPr="007922E5">
        <w:rPr>
          <w:rFonts w:ascii="Times New Roman" w:hAnsi="Times New Roman" w:cs="Times New Roman"/>
          <w:sz w:val="24"/>
          <w:szCs w:val="24"/>
          <w:lang w:val="sq-AL"/>
        </w:rPr>
        <w:t xml:space="preserve"> mas</w:t>
      </w:r>
      <w:r w:rsidR="00AE0C0D" w:rsidRPr="007922E5">
        <w:rPr>
          <w:rFonts w:ascii="Times New Roman" w:hAnsi="Times New Roman" w:cs="Times New Roman"/>
          <w:sz w:val="24"/>
          <w:szCs w:val="24"/>
          <w:lang w:val="sq-AL"/>
        </w:rPr>
        <w:t>ë</w:t>
      </w:r>
      <w:r w:rsidR="00AC71C8" w:rsidRPr="007922E5">
        <w:rPr>
          <w:rFonts w:ascii="Times New Roman" w:hAnsi="Times New Roman" w:cs="Times New Roman"/>
          <w:sz w:val="24"/>
          <w:szCs w:val="24"/>
          <w:lang w:val="sq-AL"/>
        </w:rPr>
        <w:t>n</w:t>
      </w:r>
      <w:r w:rsidRPr="007922E5">
        <w:rPr>
          <w:rFonts w:ascii="Times New Roman" w:hAnsi="Times New Roman" w:cs="Times New Roman"/>
          <w:sz w:val="24"/>
          <w:szCs w:val="24"/>
          <w:lang w:val="sq-AL"/>
        </w:rPr>
        <w:t xml:space="preserve"> 100% të shërbimeve online. </w:t>
      </w:r>
      <w:r w:rsidR="00AC71C8" w:rsidRPr="001679EE">
        <w:rPr>
          <w:rFonts w:ascii="Times New Roman" w:hAnsi="Times New Roman" w:cs="Times New Roman"/>
          <w:b/>
          <w:bCs/>
          <w:i/>
          <w:iCs/>
          <w:sz w:val="24"/>
          <w:szCs w:val="24"/>
          <w:lang w:val="sq-AL"/>
        </w:rPr>
        <w:t>Sidoqoft</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 xml:space="preserve"> ky n</w:t>
      </w:r>
      <w:r w:rsidRPr="001679EE">
        <w:rPr>
          <w:rFonts w:ascii="Times New Roman" w:hAnsi="Times New Roman" w:cs="Times New Roman"/>
          <w:b/>
          <w:bCs/>
          <w:i/>
          <w:iCs/>
          <w:sz w:val="24"/>
          <w:szCs w:val="24"/>
          <w:lang w:val="sq-AL"/>
        </w:rPr>
        <w:t>d</w:t>
      </w:r>
      <w:r w:rsidR="00AC71C8" w:rsidRPr="001679EE">
        <w:rPr>
          <w:rFonts w:ascii="Times New Roman" w:hAnsi="Times New Roman" w:cs="Times New Roman"/>
          <w:b/>
          <w:bCs/>
          <w:i/>
          <w:iCs/>
          <w:sz w:val="24"/>
          <w:szCs w:val="24"/>
          <w:lang w:val="sq-AL"/>
        </w:rPr>
        <w:t>ryshim i</w:t>
      </w:r>
      <w:r w:rsidRPr="001679EE">
        <w:rPr>
          <w:rFonts w:ascii="Times New Roman" w:hAnsi="Times New Roman" w:cs="Times New Roman"/>
          <w:b/>
          <w:bCs/>
          <w:i/>
          <w:iCs/>
          <w:sz w:val="24"/>
          <w:szCs w:val="24"/>
          <w:lang w:val="sq-AL"/>
        </w:rPr>
        <w:t xml:space="preserve"> shpejtë ka ngritur, p</w:t>
      </w:r>
      <w:r w:rsidR="00AC71C8" w:rsidRPr="001679EE">
        <w:rPr>
          <w:rFonts w:ascii="Times New Roman" w:hAnsi="Times New Roman" w:cs="Times New Roman"/>
          <w:b/>
          <w:bCs/>
          <w:i/>
          <w:iCs/>
          <w:sz w:val="24"/>
          <w:szCs w:val="24"/>
          <w:lang w:val="sq-AL"/>
        </w:rPr>
        <w:t>ik</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pyetje</w:t>
      </w:r>
      <w:r w:rsidRPr="001679EE">
        <w:rPr>
          <w:rFonts w:ascii="Times New Roman" w:hAnsi="Times New Roman" w:cs="Times New Roman"/>
          <w:b/>
          <w:bCs/>
          <w:i/>
          <w:iCs/>
          <w:sz w:val="24"/>
          <w:szCs w:val="24"/>
          <w:lang w:val="sq-AL"/>
        </w:rPr>
        <w:t xml:space="preserve"> për sa i përket cilësisë dhe aksesit </w:t>
      </w:r>
      <w:r w:rsidR="00AC71C8" w:rsidRPr="001679EE">
        <w:rPr>
          <w:rFonts w:ascii="Times New Roman" w:hAnsi="Times New Roman" w:cs="Times New Roman"/>
          <w:b/>
          <w:bCs/>
          <w:i/>
          <w:iCs/>
          <w:sz w:val="24"/>
          <w:szCs w:val="24"/>
          <w:lang w:val="sq-AL"/>
        </w:rPr>
        <w:t>t</w:t>
      </w:r>
      <w:r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 xml:space="preserve"> sh</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rbimeve n</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 xml:space="preserve"> k</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t</w:t>
      </w:r>
      <w:r w:rsidR="00AE0C0D" w:rsidRPr="001679EE">
        <w:rPr>
          <w:rFonts w:ascii="Times New Roman" w:hAnsi="Times New Roman" w:cs="Times New Roman"/>
          <w:b/>
          <w:bCs/>
          <w:i/>
          <w:iCs/>
          <w:sz w:val="24"/>
          <w:szCs w:val="24"/>
          <w:lang w:val="sq-AL"/>
        </w:rPr>
        <w:t>ë</w:t>
      </w:r>
      <w:r w:rsidR="00AC71C8" w:rsidRPr="001679EE">
        <w:rPr>
          <w:rFonts w:ascii="Times New Roman" w:hAnsi="Times New Roman" w:cs="Times New Roman"/>
          <w:b/>
          <w:bCs/>
          <w:i/>
          <w:iCs/>
          <w:sz w:val="24"/>
          <w:szCs w:val="24"/>
          <w:lang w:val="sq-AL"/>
        </w:rPr>
        <w:t xml:space="preserve"> faz</w:t>
      </w:r>
      <w:r w:rsidR="00AE0C0D" w:rsidRPr="001679EE">
        <w:rPr>
          <w:rFonts w:ascii="Times New Roman" w:hAnsi="Times New Roman" w:cs="Times New Roman"/>
          <w:b/>
          <w:bCs/>
          <w:i/>
          <w:iCs/>
          <w:sz w:val="24"/>
          <w:szCs w:val="24"/>
          <w:lang w:val="sq-AL"/>
        </w:rPr>
        <w:t>ë</w:t>
      </w:r>
      <w:r w:rsidRPr="001679EE">
        <w:rPr>
          <w:rFonts w:ascii="Times New Roman" w:hAnsi="Times New Roman" w:cs="Times New Roman"/>
          <w:b/>
          <w:bCs/>
          <w:i/>
          <w:iCs/>
          <w:sz w:val="24"/>
          <w:szCs w:val="24"/>
          <w:lang w:val="sq-AL"/>
        </w:rPr>
        <w:t xml:space="preserve"> tranzicion</w:t>
      </w:r>
      <w:r w:rsidR="00AC71C8" w:rsidRPr="001679EE">
        <w:rPr>
          <w:rFonts w:ascii="Times New Roman" w:hAnsi="Times New Roman" w:cs="Times New Roman"/>
          <w:b/>
          <w:bCs/>
          <w:i/>
          <w:iCs/>
          <w:sz w:val="24"/>
          <w:szCs w:val="24"/>
          <w:lang w:val="sq-AL"/>
        </w:rPr>
        <w:t>i</w:t>
      </w:r>
      <w:r w:rsidRPr="001679EE">
        <w:rPr>
          <w:rFonts w:ascii="Times New Roman" w:hAnsi="Times New Roman" w:cs="Times New Roman"/>
          <w:b/>
          <w:bCs/>
          <w:i/>
          <w:iCs/>
          <w:sz w:val="24"/>
          <w:szCs w:val="24"/>
          <w:lang w:val="sq-AL"/>
        </w:rPr>
        <w:t>.</w:t>
      </w:r>
      <w:r w:rsidR="00AC71C8" w:rsidRPr="001679EE">
        <w:rPr>
          <w:rFonts w:ascii="Times New Roman" w:hAnsi="Times New Roman" w:cs="Times New Roman"/>
          <w:b/>
          <w:bCs/>
          <w:i/>
          <w:iCs/>
          <w:sz w:val="24"/>
          <w:szCs w:val="24"/>
          <w:lang w:val="sq-AL"/>
        </w:rPr>
        <w:t xml:space="preserve"> </w:t>
      </w:r>
    </w:p>
    <w:p w:rsidR="00E07086" w:rsidRPr="003D541E" w:rsidRDefault="00E07086" w:rsidP="00E31BC3">
      <w:pPr>
        <w:jc w:val="both"/>
        <w:rPr>
          <w:rFonts w:ascii="Times New Roman" w:hAnsi="Times New Roman" w:cs="Times New Roman"/>
          <w:b/>
          <w:bCs/>
          <w:i/>
          <w:iCs/>
          <w:sz w:val="24"/>
          <w:szCs w:val="24"/>
        </w:rPr>
      </w:pPr>
      <w:r w:rsidRPr="007922E5">
        <w:rPr>
          <w:rFonts w:ascii="Times New Roman" w:hAnsi="Times New Roman" w:cs="Times New Roman"/>
          <w:b/>
          <w:sz w:val="24"/>
          <w:szCs w:val="24"/>
          <w:lang w:val="sq-AL"/>
        </w:rPr>
        <w:t>Reforma administrative territoriale</w:t>
      </w:r>
      <w:r w:rsidRPr="007922E5">
        <w:rPr>
          <w:rFonts w:ascii="Times New Roman" w:hAnsi="Times New Roman" w:cs="Times New Roman"/>
          <w:sz w:val="24"/>
          <w:szCs w:val="24"/>
          <w:lang w:val="sq-AL"/>
        </w:rPr>
        <w:t xml:space="preserve"> </w:t>
      </w:r>
      <w:r w:rsidR="004F0194" w:rsidRPr="003D541E">
        <w:rPr>
          <w:rFonts w:ascii="Times New Roman" w:hAnsi="Times New Roman" w:cs="Times New Roman"/>
          <w:i/>
          <w:iCs/>
          <w:sz w:val="24"/>
          <w:szCs w:val="24"/>
          <w:lang w:val="sq-AL"/>
        </w:rPr>
        <w:t>k</w:t>
      </w:r>
      <w:r w:rsidR="00AE0C0D" w:rsidRPr="003D541E">
        <w:rPr>
          <w:rFonts w:ascii="Times New Roman" w:hAnsi="Times New Roman" w:cs="Times New Roman"/>
          <w:i/>
          <w:iCs/>
          <w:sz w:val="24"/>
          <w:szCs w:val="24"/>
          <w:lang w:val="sq-AL"/>
        </w:rPr>
        <w:t>ë</w:t>
      </w:r>
      <w:r w:rsidR="004F0194" w:rsidRPr="003D541E">
        <w:rPr>
          <w:rFonts w:ascii="Times New Roman" w:hAnsi="Times New Roman" w:cs="Times New Roman"/>
          <w:i/>
          <w:iCs/>
          <w:sz w:val="24"/>
          <w:szCs w:val="24"/>
          <w:lang w:val="sq-AL"/>
        </w:rPr>
        <w:t>rkon</w:t>
      </w:r>
      <w:r w:rsidRPr="003D541E">
        <w:rPr>
          <w:rFonts w:ascii="Times New Roman" w:hAnsi="Times New Roman" w:cs="Times New Roman"/>
          <w:i/>
          <w:iCs/>
          <w:sz w:val="24"/>
          <w:szCs w:val="24"/>
          <w:lang w:val="sq-AL"/>
        </w:rPr>
        <w:t xml:space="preserve"> konsolid</w:t>
      </w:r>
      <w:r w:rsidR="004F0194" w:rsidRPr="003D541E">
        <w:rPr>
          <w:rFonts w:ascii="Times New Roman" w:hAnsi="Times New Roman" w:cs="Times New Roman"/>
          <w:i/>
          <w:iCs/>
          <w:sz w:val="24"/>
          <w:szCs w:val="24"/>
          <w:lang w:val="sq-AL"/>
        </w:rPr>
        <w:t>im t</w:t>
      </w:r>
      <w:r w:rsidR="00AE0C0D" w:rsidRPr="003D541E">
        <w:rPr>
          <w:rFonts w:ascii="Times New Roman" w:hAnsi="Times New Roman" w:cs="Times New Roman"/>
          <w:i/>
          <w:iCs/>
          <w:sz w:val="24"/>
          <w:szCs w:val="24"/>
          <w:lang w:val="sq-AL"/>
        </w:rPr>
        <w:t>ë</w:t>
      </w:r>
      <w:r w:rsidR="004F0194" w:rsidRPr="003D541E">
        <w:rPr>
          <w:rFonts w:ascii="Times New Roman" w:hAnsi="Times New Roman" w:cs="Times New Roman"/>
          <w:i/>
          <w:iCs/>
          <w:sz w:val="24"/>
          <w:szCs w:val="24"/>
          <w:lang w:val="sq-AL"/>
        </w:rPr>
        <w:t xml:space="preserve">  më</w:t>
      </w:r>
      <w:r w:rsidRPr="003D541E">
        <w:rPr>
          <w:rFonts w:ascii="Times New Roman" w:hAnsi="Times New Roman" w:cs="Times New Roman"/>
          <w:i/>
          <w:iCs/>
          <w:sz w:val="24"/>
          <w:szCs w:val="24"/>
          <w:lang w:val="sq-AL"/>
        </w:rPr>
        <w:t>tej</w:t>
      </w:r>
      <w:r w:rsidR="004F0194" w:rsidRPr="003D541E">
        <w:rPr>
          <w:rFonts w:ascii="Times New Roman" w:hAnsi="Times New Roman" w:cs="Times New Roman"/>
          <w:i/>
          <w:iCs/>
          <w:sz w:val="24"/>
          <w:szCs w:val="24"/>
          <w:lang w:val="sq-AL"/>
        </w:rPr>
        <w:t>sh</w:t>
      </w:r>
      <w:r w:rsidR="00AE0C0D" w:rsidRPr="003D541E">
        <w:rPr>
          <w:rFonts w:ascii="Times New Roman" w:hAnsi="Times New Roman" w:cs="Times New Roman"/>
          <w:i/>
          <w:iCs/>
          <w:sz w:val="24"/>
          <w:szCs w:val="24"/>
          <w:lang w:val="sq-AL"/>
        </w:rPr>
        <w:t>ë</w:t>
      </w:r>
      <w:r w:rsidR="004F0194" w:rsidRPr="003D541E">
        <w:rPr>
          <w:rFonts w:ascii="Times New Roman" w:hAnsi="Times New Roman" w:cs="Times New Roman"/>
          <w:i/>
          <w:iCs/>
          <w:sz w:val="24"/>
          <w:szCs w:val="24"/>
          <w:lang w:val="sq-AL"/>
        </w:rPr>
        <w:t>m</w:t>
      </w:r>
      <w:r w:rsidRPr="003D541E">
        <w:rPr>
          <w:rFonts w:ascii="Times New Roman" w:hAnsi="Times New Roman" w:cs="Times New Roman"/>
          <w:i/>
          <w:iCs/>
          <w:sz w:val="24"/>
          <w:szCs w:val="24"/>
          <w:lang w:val="sq-AL"/>
        </w:rPr>
        <w:t xml:space="preserve"> si pjesë e agjendës më të gjerë të decentralizimit.</w:t>
      </w:r>
      <w:r w:rsidRPr="007922E5">
        <w:rPr>
          <w:rFonts w:ascii="Times New Roman" w:hAnsi="Times New Roman" w:cs="Times New Roman"/>
          <w:sz w:val="24"/>
          <w:szCs w:val="24"/>
          <w:lang w:val="sq-AL"/>
        </w:rPr>
        <w:t xml:space="preserve"> Gjatë periudhës raportuese është nxjerrë raporti vjetor i monitorimit për vitin 2020 për zbatimin e strategjisë së decentralizimit dhe qeverisjes vendore. </w:t>
      </w:r>
      <w:r w:rsidRPr="003D541E">
        <w:rPr>
          <w:rFonts w:ascii="Times New Roman" w:hAnsi="Times New Roman" w:cs="Times New Roman"/>
          <w:b/>
          <w:bCs/>
          <w:i/>
          <w:iCs/>
          <w:sz w:val="24"/>
          <w:szCs w:val="24"/>
          <w:lang w:val="sq-AL"/>
        </w:rPr>
        <w:t>Duhet të sigurohet një monitorim sistematik dhe mekanizmat përkatës</w:t>
      </w:r>
      <w:r w:rsidR="004F0194" w:rsidRPr="003D541E">
        <w:rPr>
          <w:rFonts w:ascii="Times New Roman" w:hAnsi="Times New Roman" w:cs="Times New Roman"/>
          <w:b/>
          <w:bCs/>
          <w:i/>
          <w:iCs/>
          <w:sz w:val="24"/>
          <w:szCs w:val="24"/>
          <w:lang w:val="sq-AL"/>
        </w:rPr>
        <w:t>e</w:t>
      </w:r>
      <w:r w:rsidRPr="003D541E">
        <w:rPr>
          <w:rFonts w:ascii="Times New Roman" w:hAnsi="Times New Roman" w:cs="Times New Roman"/>
          <w:b/>
          <w:bCs/>
          <w:i/>
          <w:iCs/>
          <w:sz w:val="24"/>
          <w:szCs w:val="24"/>
          <w:lang w:val="sq-AL"/>
        </w:rPr>
        <w:t xml:space="preserve">. Strategjia e re e decentralizimit pas vitit 2022, mbetet për t'u miratuar. Konsultimi në nivel vendor, gjatë përpunimit të tij, do të jetë thelbësor për strategjinë për të </w:t>
      </w:r>
      <w:r w:rsidR="004F0194" w:rsidRPr="003D541E">
        <w:rPr>
          <w:rFonts w:ascii="Times New Roman" w:hAnsi="Times New Roman" w:cs="Times New Roman"/>
          <w:b/>
          <w:bCs/>
          <w:i/>
          <w:iCs/>
          <w:sz w:val="24"/>
          <w:szCs w:val="24"/>
          <w:lang w:val="sq-AL"/>
        </w:rPr>
        <w:t>identifikuar</w:t>
      </w:r>
      <w:r w:rsidRPr="003D541E">
        <w:rPr>
          <w:rFonts w:ascii="Times New Roman" w:hAnsi="Times New Roman" w:cs="Times New Roman"/>
          <w:b/>
          <w:bCs/>
          <w:i/>
          <w:iCs/>
          <w:sz w:val="24"/>
          <w:szCs w:val="24"/>
          <w:lang w:val="sq-AL"/>
        </w:rPr>
        <w:t xml:space="preserve"> dhe adresuar nevojat prioritare.</w:t>
      </w:r>
    </w:p>
    <w:p w:rsidR="00E07086" w:rsidRPr="007922E5" w:rsidRDefault="00E07086"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Në shkurt 2022, Kuvendi vendosi ngritjen e një komisioni ad hoc për ndarje</w:t>
      </w:r>
      <w:r w:rsidR="004F0194" w:rsidRPr="007922E5">
        <w:rPr>
          <w:rFonts w:ascii="Times New Roman" w:hAnsi="Times New Roman" w:cs="Times New Roman"/>
          <w:sz w:val="24"/>
          <w:szCs w:val="24"/>
          <w:lang w:val="sq-AL"/>
        </w:rPr>
        <w:t>n</w:t>
      </w:r>
      <w:r w:rsidRPr="007922E5">
        <w:rPr>
          <w:rFonts w:ascii="Times New Roman" w:hAnsi="Times New Roman" w:cs="Times New Roman"/>
          <w:sz w:val="24"/>
          <w:szCs w:val="24"/>
          <w:lang w:val="sq-AL"/>
        </w:rPr>
        <w:t xml:space="preserve"> territoriale dhe administrative në vend, mandati i të cilit zgjati deri më 30 shtator.</w:t>
      </w:r>
    </w:p>
    <w:p w:rsidR="00E07086" w:rsidRPr="002C14C6" w:rsidRDefault="00E07086" w:rsidP="00E31BC3">
      <w:pPr>
        <w:jc w:val="both"/>
        <w:rPr>
          <w:rFonts w:ascii="Times New Roman" w:hAnsi="Times New Roman" w:cs="Times New Roman"/>
          <w:b/>
          <w:bCs/>
          <w:i/>
          <w:iCs/>
          <w:sz w:val="24"/>
          <w:szCs w:val="24"/>
          <w:lang w:val="sq-AL"/>
        </w:rPr>
      </w:pPr>
      <w:r w:rsidRPr="003D541E">
        <w:rPr>
          <w:rFonts w:ascii="Times New Roman" w:hAnsi="Times New Roman" w:cs="Times New Roman"/>
          <w:b/>
          <w:bCs/>
          <w:i/>
          <w:iCs/>
          <w:sz w:val="24"/>
          <w:szCs w:val="24"/>
          <w:lang w:val="sq-AL"/>
        </w:rPr>
        <w:t>Njësive të qeverisjes vendore (NJQV) ende u mungojnë burimet e mjaftueshme financiare dhe kapacitetet administrative për të ushtruar me efektivitet kompetencat e tyre më të mëdha në politikëbërje.</w:t>
      </w:r>
      <w:r w:rsidRPr="007922E5">
        <w:rPr>
          <w:rFonts w:ascii="Times New Roman" w:hAnsi="Times New Roman" w:cs="Times New Roman"/>
          <w:sz w:val="24"/>
          <w:szCs w:val="24"/>
          <w:lang w:val="sq-AL"/>
        </w:rPr>
        <w:t xml:space="preserve"> Përfaqësimi i grave në pushtetin vendor kërko</w:t>
      </w:r>
      <w:r w:rsidR="004F0194" w:rsidRPr="007922E5">
        <w:rPr>
          <w:rFonts w:ascii="Times New Roman" w:hAnsi="Times New Roman" w:cs="Times New Roman"/>
          <w:sz w:val="24"/>
          <w:szCs w:val="24"/>
          <w:lang w:val="sq-AL"/>
        </w:rPr>
        <w:t>n</w:t>
      </w:r>
      <w:r w:rsidRPr="007922E5">
        <w:rPr>
          <w:rFonts w:ascii="Times New Roman" w:hAnsi="Times New Roman" w:cs="Times New Roman"/>
          <w:sz w:val="24"/>
          <w:szCs w:val="24"/>
          <w:lang w:val="sq-AL"/>
        </w:rPr>
        <w:t xml:space="preserve"> përmirësim</w:t>
      </w:r>
      <w:r w:rsidR="004F0194" w:rsidRPr="007922E5">
        <w:rPr>
          <w:rFonts w:ascii="Times New Roman" w:hAnsi="Times New Roman" w:cs="Times New Roman"/>
          <w:sz w:val="24"/>
          <w:szCs w:val="24"/>
          <w:lang w:val="sq-AL"/>
        </w:rPr>
        <w:t xml:space="preserve"> t</w:t>
      </w:r>
      <w:r w:rsidR="00AE0C0D" w:rsidRPr="007922E5">
        <w:rPr>
          <w:rFonts w:ascii="Times New Roman" w:hAnsi="Times New Roman" w:cs="Times New Roman"/>
          <w:sz w:val="24"/>
          <w:szCs w:val="24"/>
          <w:lang w:val="sq-AL"/>
        </w:rPr>
        <w:t>ë</w:t>
      </w:r>
      <w:r w:rsidR="004F0194" w:rsidRPr="007922E5">
        <w:rPr>
          <w:rFonts w:ascii="Times New Roman" w:hAnsi="Times New Roman" w:cs="Times New Roman"/>
          <w:sz w:val="24"/>
          <w:szCs w:val="24"/>
          <w:lang w:val="sq-AL"/>
        </w:rPr>
        <w:t xml:space="preserve"> vazhduesh</w:t>
      </w:r>
      <w:r w:rsidR="00AE0C0D" w:rsidRPr="007922E5">
        <w:rPr>
          <w:rFonts w:ascii="Times New Roman" w:hAnsi="Times New Roman" w:cs="Times New Roman"/>
          <w:sz w:val="24"/>
          <w:szCs w:val="24"/>
          <w:lang w:val="sq-AL"/>
        </w:rPr>
        <w:t>ë</w:t>
      </w:r>
      <w:r w:rsidR="004F0194" w:rsidRPr="007922E5">
        <w:rPr>
          <w:rFonts w:ascii="Times New Roman" w:hAnsi="Times New Roman" w:cs="Times New Roman"/>
          <w:sz w:val="24"/>
          <w:szCs w:val="24"/>
          <w:lang w:val="sq-AL"/>
        </w:rPr>
        <w:t>m</w:t>
      </w:r>
      <w:r w:rsidRPr="007922E5">
        <w:rPr>
          <w:rFonts w:ascii="Times New Roman" w:hAnsi="Times New Roman" w:cs="Times New Roman"/>
          <w:sz w:val="24"/>
          <w:szCs w:val="24"/>
          <w:lang w:val="sq-AL"/>
        </w:rPr>
        <w:t xml:space="preserve">. Autonomia fiskale e NJQV-ve mbetet në rrezik, pasi pjesa më e madhe e buxhetit të tyre varet nga transfertat kombëtare. </w:t>
      </w:r>
      <w:r w:rsidRPr="002C14C6">
        <w:rPr>
          <w:rFonts w:ascii="Times New Roman" w:hAnsi="Times New Roman" w:cs="Times New Roman"/>
          <w:b/>
          <w:bCs/>
          <w:i/>
          <w:iCs/>
          <w:sz w:val="24"/>
          <w:szCs w:val="24"/>
          <w:lang w:val="sq-AL"/>
        </w:rPr>
        <w:t>Ofrimi i shërbimeve publike cilësore në nivel lokal mbetet i kufizuar. Situata financiare e bashkive është bërë gjithnjë e më e komplikuar nga goditjet ekonomike, me tkurrje të mëtejshme të burimeve të veta në dispozicion të NJQV-ve.</w:t>
      </w:r>
    </w:p>
    <w:p w:rsidR="00E07086" w:rsidRPr="002C14C6" w:rsidRDefault="00E07086" w:rsidP="00E31BC3">
      <w:pPr>
        <w:jc w:val="both"/>
        <w:rPr>
          <w:rFonts w:ascii="Times New Roman" w:hAnsi="Times New Roman" w:cs="Times New Roman"/>
          <w:i/>
          <w:iCs/>
          <w:sz w:val="24"/>
          <w:szCs w:val="24"/>
          <w:lang w:val="sq-AL"/>
        </w:rPr>
      </w:pPr>
      <w:r w:rsidRPr="002C14C6">
        <w:rPr>
          <w:rFonts w:ascii="Times New Roman" w:hAnsi="Times New Roman" w:cs="Times New Roman"/>
          <w:b/>
          <w:bCs/>
          <w:i/>
          <w:iCs/>
          <w:sz w:val="24"/>
          <w:szCs w:val="24"/>
          <w:lang w:val="sq-AL"/>
        </w:rPr>
        <w:t>Zbatimi i Ligjit për Shërbimin Civil mbetet për t'u përmirësuar në nivel lokal.</w:t>
      </w:r>
      <w:r w:rsidRPr="007922E5">
        <w:rPr>
          <w:rFonts w:ascii="Times New Roman" w:hAnsi="Times New Roman" w:cs="Times New Roman"/>
          <w:sz w:val="24"/>
          <w:szCs w:val="24"/>
          <w:lang w:val="sq-AL"/>
        </w:rPr>
        <w:t xml:space="preserve"> </w:t>
      </w:r>
      <w:r w:rsidRPr="002C14C6">
        <w:rPr>
          <w:rFonts w:ascii="Times New Roman" w:hAnsi="Times New Roman" w:cs="Times New Roman"/>
          <w:i/>
          <w:iCs/>
          <w:sz w:val="24"/>
          <w:szCs w:val="24"/>
          <w:lang w:val="sq-AL"/>
        </w:rPr>
        <w:t>Kontratat e përkohshme të punës për pozicionet e shërbimit civil, megjithëse në rënie, vazhdojnë të jenë mjaft të shpeshta në NJQV.</w:t>
      </w:r>
    </w:p>
    <w:p w:rsidR="00E07086" w:rsidRPr="002C14C6" w:rsidRDefault="00E07086" w:rsidP="00E31BC3">
      <w:pPr>
        <w:jc w:val="both"/>
        <w:rPr>
          <w:rFonts w:ascii="Times New Roman" w:hAnsi="Times New Roman" w:cs="Times New Roman"/>
          <w:i/>
          <w:iCs/>
          <w:sz w:val="24"/>
          <w:szCs w:val="24"/>
        </w:rPr>
      </w:pPr>
      <w:r w:rsidRPr="007922E5">
        <w:rPr>
          <w:rFonts w:ascii="Times New Roman" w:hAnsi="Times New Roman" w:cs="Times New Roman"/>
          <w:sz w:val="24"/>
          <w:szCs w:val="24"/>
          <w:lang w:val="sq-AL"/>
        </w:rPr>
        <w:t xml:space="preserve">Pavarësisht pandemisë COVID-19, komunat kanë inkurajuar pjesëmarrjen e publikut në vendimmarrjen e tyre, duke organizuar takime të Këshillit online të hapura për publikun dhe mjete të tjera inovative. </w:t>
      </w:r>
      <w:r w:rsidRPr="002C14C6">
        <w:rPr>
          <w:rFonts w:ascii="Times New Roman" w:hAnsi="Times New Roman" w:cs="Times New Roman"/>
          <w:b/>
          <w:bCs/>
          <w:i/>
          <w:iCs/>
          <w:sz w:val="24"/>
          <w:szCs w:val="24"/>
          <w:lang w:val="sq-AL"/>
        </w:rPr>
        <w:t>Megjithatë, kuadri institucional për pjesëmarrje efektive dhe gjithëpërfshirëse ka nevojë për fuqizim të mëtejshëm</w:t>
      </w:r>
      <w:r w:rsidRPr="007922E5">
        <w:rPr>
          <w:rFonts w:ascii="Times New Roman" w:hAnsi="Times New Roman" w:cs="Times New Roman"/>
          <w:sz w:val="24"/>
          <w:szCs w:val="24"/>
          <w:lang w:val="sq-AL"/>
        </w:rPr>
        <w:t xml:space="preserve">. Sa i përket transparencës, është vërejtur njëfarë përmirësimi, pasi të gjitha bashkitë tani po publikojnë online vendimet e </w:t>
      </w:r>
      <w:r w:rsidR="004F0194" w:rsidRPr="007922E5">
        <w:rPr>
          <w:rFonts w:ascii="Times New Roman" w:hAnsi="Times New Roman" w:cs="Times New Roman"/>
          <w:sz w:val="24"/>
          <w:szCs w:val="24"/>
          <w:lang w:val="sq-AL"/>
        </w:rPr>
        <w:t xml:space="preserve">tyre të </w:t>
      </w:r>
      <w:r w:rsidRPr="007922E5">
        <w:rPr>
          <w:rFonts w:ascii="Times New Roman" w:hAnsi="Times New Roman" w:cs="Times New Roman"/>
          <w:sz w:val="24"/>
          <w:szCs w:val="24"/>
          <w:lang w:val="sq-AL"/>
        </w:rPr>
        <w:t xml:space="preserve">Këshillit. </w:t>
      </w:r>
      <w:r w:rsidRPr="002C14C6">
        <w:rPr>
          <w:rFonts w:ascii="Times New Roman" w:hAnsi="Times New Roman" w:cs="Times New Roman"/>
          <w:i/>
          <w:iCs/>
          <w:sz w:val="24"/>
          <w:szCs w:val="24"/>
          <w:lang w:val="sq-AL"/>
        </w:rPr>
        <w:t>Për sa i përket programit të transparencës që do të miratojë çdo bashki, janë evidentuar mangësi në lidhje me publikimin e informacionit të detyrueshëm në rubrikat e saj.</w:t>
      </w:r>
    </w:p>
    <w:p w:rsidR="00C82767" w:rsidRPr="00F6401B" w:rsidRDefault="00C82767"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lastRenderedPageBreak/>
        <w:t xml:space="preserve">Këshilli Konsultativ vazhdon të funksionojë si forumi kryesor për dialogun institucional dhe koordinimin ndërmjet pushtetit qendror dhe atij vendor. Rrjeti i koordinatorëve vendorë të BE-së ka forcuar përfshirjen e NJQV-ve në procesin e anëtarësimit në BE. </w:t>
      </w:r>
      <w:r w:rsidRPr="00F6401B">
        <w:rPr>
          <w:rFonts w:ascii="Times New Roman" w:hAnsi="Times New Roman" w:cs="Times New Roman"/>
          <w:b/>
          <w:bCs/>
          <w:i/>
          <w:iCs/>
          <w:sz w:val="24"/>
          <w:szCs w:val="24"/>
          <w:lang w:val="sq-AL"/>
        </w:rPr>
        <w:t xml:space="preserve">Megjithatë, ndërrimi i shpeshtë i stafit në njësitë bashkiake </w:t>
      </w:r>
      <w:r w:rsidR="00F6401B">
        <w:rPr>
          <w:rFonts w:ascii="Times New Roman" w:hAnsi="Times New Roman" w:cs="Times New Roman"/>
          <w:b/>
          <w:bCs/>
          <w:i/>
          <w:iCs/>
          <w:sz w:val="24"/>
          <w:szCs w:val="24"/>
          <w:lang w:val="sq-AL"/>
        </w:rPr>
        <w:t>per</w:t>
      </w:r>
      <w:r w:rsidRPr="00F6401B">
        <w:rPr>
          <w:rFonts w:ascii="Times New Roman" w:hAnsi="Times New Roman" w:cs="Times New Roman"/>
          <w:b/>
          <w:bCs/>
          <w:i/>
          <w:iCs/>
          <w:sz w:val="24"/>
          <w:szCs w:val="24"/>
          <w:lang w:val="sq-AL"/>
        </w:rPr>
        <w:t xml:space="preserve"> BE-së rrezikon aftësinë e tyre për të performuar</w:t>
      </w:r>
      <w:r w:rsidRPr="007922E5">
        <w:rPr>
          <w:rFonts w:ascii="Times New Roman" w:hAnsi="Times New Roman" w:cs="Times New Roman"/>
          <w:sz w:val="24"/>
          <w:szCs w:val="24"/>
          <w:lang w:val="sq-AL"/>
        </w:rPr>
        <w:t xml:space="preserve">. </w:t>
      </w:r>
      <w:r w:rsidRPr="00F6401B">
        <w:rPr>
          <w:rFonts w:ascii="Times New Roman" w:hAnsi="Times New Roman" w:cs="Times New Roman"/>
          <w:i/>
          <w:iCs/>
          <w:sz w:val="24"/>
          <w:szCs w:val="24"/>
          <w:lang w:val="sq-AL"/>
        </w:rPr>
        <w:t>Problemet e bashkëfinancimit dhe para-financimit vazhdojnë në nivel vendor, pavarësisht krijimit të një fondi prej 200 milionë lekësh në buxhetin e shtetit për vitin 2022.</w:t>
      </w:r>
      <w:r w:rsidRPr="007922E5">
        <w:rPr>
          <w:rFonts w:ascii="Times New Roman" w:hAnsi="Times New Roman" w:cs="Times New Roman"/>
          <w:sz w:val="24"/>
          <w:szCs w:val="24"/>
          <w:lang w:val="sq-AL"/>
        </w:rPr>
        <w:t xml:space="preserve"> </w:t>
      </w:r>
      <w:r w:rsidRPr="00F6401B">
        <w:rPr>
          <w:rFonts w:ascii="Times New Roman" w:hAnsi="Times New Roman" w:cs="Times New Roman"/>
          <w:b/>
          <w:bCs/>
          <w:i/>
          <w:iCs/>
          <w:sz w:val="24"/>
          <w:szCs w:val="24"/>
          <w:lang w:val="sq-AL"/>
        </w:rPr>
        <w:t>Procedurat komplekse për hapjen e llogarive bankare të dedikuara si dhe për marrjen e rimbursimit të TVSH-së përbëjnë gjithashtu pengesa serioze për bashkitë shqiptare. aksesi në financim nga Instrumenti i Para-Aderimit (IPA).</w:t>
      </w:r>
    </w:p>
    <w:p w:rsidR="00C82767" w:rsidRPr="00F6401B" w:rsidRDefault="00C82767" w:rsidP="00E31BC3">
      <w:pPr>
        <w:jc w:val="both"/>
        <w:rPr>
          <w:rFonts w:ascii="Times New Roman" w:hAnsi="Times New Roman" w:cs="Times New Roman"/>
          <w:i/>
          <w:iCs/>
          <w:sz w:val="24"/>
          <w:szCs w:val="24"/>
          <w:lang w:val="sq-AL"/>
        </w:rPr>
      </w:pPr>
      <w:r w:rsidRPr="007922E5">
        <w:rPr>
          <w:rFonts w:ascii="Times New Roman" w:hAnsi="Times New Roman" w:cs="Times New Roman"/>
          <w:sz w:val="24"/>
          <w:szCs w:val="24"/>
          <w:lang w:val="sq-AL"/>
        </w:rPr>
        <w:t xml:space="preserve">Sa i përket </w:t>
      </w:r>
      <w:r w:rsidRPr="007922E5">
        <w:rPr>
          <w:rFonts w:ascii="Times New Roman" w:hAnsi="Times New Roman" w:cs="Times New Roman"/>
          <w:b/>
          <w:sz w:val="24"/>
          <w:szCs w:val="24"/>
          <w:lang w:val="sq-AL"/>
        </w:rPr>
        <w:t>planifikimit të territorit</w:t>
      </w:r>
      <w:r w:rsidRPr="007922E5">
        <w:rPr>
          <w:rFonts w:ascii="Times New Roman" w:hAnsi="Times New Roman" w:cs="Times New Roman"/>
          <w:sz w:val="24"/>
          <w:szCs w:val="24"/>
          <w:lang w:val="sq-AL"/>
        </w:rPr>
        <w:t xml:space="preserve">, </w:t>
      </w:r>
      <w:r w:rsidR="00571F2F" w:rsidRPr="00F6401B">
        <w:rPr>
          <w:rFonts w:ascii="Times New Roman" w:hAnsi="Times New Roman" w:cs="Times New Roman"/>
          <w:i/>
          <w:iCs/>
          <w:sz w:val="24"/>
          <w:szCs w:val="24"/>
          <w:lang w:val="sq-AL"/>
        </w:rPr>
        <w:t>mbetet e nevojshme</w:t>
      </w:r>
      <w:r w:rsidRPr="00F6401B">
        <w:rPr>
          <w:rFonts w:ascii="Times New Roman" w:hAnsi="Times New Roman" w:cs="Times New Roman"/>
          <w:i/>
          <w:iCs/>
          <w:sz w:val="24"/>
          <w:szCs w:val="24"/>
          <w:lang w:val="sq-AL"/>
        </w:rPr>
        <w:t xml:space="preserve"> rishik</w:t>
      </w:r>
      <w:r w:rsidR="00571F2F" w:rsidRPr="00F6401B">
        <w:rPr>
          <w:rFonts w:ascii="Times New Roman" w:hAnsi="Times New Roman" w:cs="Times New Roman"/>
          <w:i/>
          <w:iCs/>
          <w:sz w:val="24"/>
          <w:szCs w:val="24"/>
          <w:lang w:val="sq-AL"/>
        </w:rPr>
        <w:t>imi i</w:t>
      </w:r>
      <w:r w:rsidRPr="00F6401B">
        <w:rPr>
          <w:rFonts w:ascii="Times New Roman" w:hAnsi="Times New Roman" w:cs="Times New Roman"/>
          <w:i/>
          <w:iCs/>
          <w:sz w:val="24"/>
          <w:szCs w:val="24"/>
          <w:lang w:val="sq-AL"/>
        </w:rPr>
        <w:t xml:space="preserve"> plane</w:t>
      </w:r>
      <w:r w:rsidR="00571F2F" w:rsidRPr="00F6401B">
        <w:rPr>
          <w:rFonts w:ascii="Times New Roman" w:hAnsi="Times New Roman" w:cs="Times New Roman"/>
          <w:i/>
          <w:iCs/>
          <w:sz w:val="24"/>
          <w:szCs w:val="24"/>
          <w:lang w:val="sq-AL"/>
        </w:rPr>
        <w:t>ve</w:t>
      </w:r>
      <w:r w:rsidRPr="00F6401B">
        <w:rPr>
          <w:rFonts w:ascii="Times New Roman" w:hAnsi="Times New Roman" w:cs="Times New Roman"/>
          <w:i/>
          <w:iCs/>
          <w:sz w:val="24"/>
          <w:szCs w:val="24"/>
          <w:lang w:val="sq-AL"/>
        </w:rPr>
        <w:t xml:space="preserve"> vendore </w:t>
      </w:r>
      <w:r w:rsidR="00571F2F" w:rsidRPr="00F6401B">
        <w:rPr>
          <w:rFonts w:ascii="Times New Roman" w:hAnsi="Times New Roman" w:cs="Times New Roman"/>
          <w:i/>
          <w:iCs/>
          <w:sz w:val="24"/>
          <w:szCs w:val="24"/>
          <w:lang w:val="sq-AL"/>
        </w:rPr>
        <w:t xml:space="preserve">duke llogaritur </w:t>
      </w:r>
      <w:r w:rsidRPr="00F6401B">
        <w:rPr>
          <w:rFonts w:ascii="Times New Roman" w:hAnsi="Times New Roman" w:cs="Times New Roman"/>
          <w:i/>
          <w:iCs/>
          <w:sz w:val="24"/>
          <w:szCs w:val="24"/>
          <w:lang w:val="sq-AL"/>
        </w:rPr>
        <w:t xml:space="preserve">veçanërisht </w:t>
      </w:r>
      <w:r w:rsidR="00571F2F" w:rsidRPr="00F6401B">
        <w:rPr>
          <w:rFonts w:ascii="Times New Roman" w:hAnsi="Times New Roman" w:cs="Times New Roman"/>
          <w:i/>
          <w:iCs/>
          <w:sz w:val="24"/>
          <w:szCs w:val="24"/>
          <w:lang w:val="sq-AL"/>
        </w:rPr>
        <w:t>elementet e</w:t>
      </w:r>
      <w:r w:rsidRPr="00F6401B">
        <w:rPr>
          <w:rFonts w:ascii="Times New Roman" w:hAnsi="Times New Roman" w:cs="Times New Roman"/>
          <w:i/>
          <w:iCs/>
          <w:sz w:val="24"/>
          <w:szCs w:val="24"/>
          <w:lang w:val="sq-AL"/>
        </w:rPr>
        <w:t xml:space="preserve"> mbrojtje</w:t>
      </w:r>
      <w:r w:rsidR="00571F2F" w:rsidRPr="00F6401B">
        <w:rPr>
          <w:rFonts w:ascii="Times New Roman" w:hAnsi="Times New Roman" w:cs="Times New Roman"/>
          <w:i/>
          <w:iCs/>
          <w:sz w:val="24"/>
          <w:szCs w:val="24"/>
          <w:lang w:val="sq-AL"/>
        </w:rPr>
        <w:t>s</w:t>
      </w:r>
      <w:r w:rsidRPr="00F6401B">
        <w:rPr>
          <w:rFonts w:ascii="Times New Roman" w:hAnsi="Times New Roman" w:cs="Times New Roman"/>
          <w:i/>
          <w:iCs/>
          <w:sz w:val="24"/>
          <w:szCs w:val="24"/>
          <w:lang w:val="sq-AL"/>
        </w:rPr>
        <w:t xml:space="preserve"> civile. Koordinimi i strategjive kombëtare sektoriale me planet vendore është i dobët.</w:t>
      </w:r>
    </w:p>
    <w:p w:rsidR="00C82767" w:rsidRPr="007922E5" w:rsidRDefault="00C82767" w:rsidP="00C82767">
      <w:pPr>
        <w:rPr>
          <w:rFonts w:ascii="Times New Roman" w:hAnsi="Times New Roman" w:cs="Times New Roman"/>
          <w:b/>
          <w:sz w:val="24"/>
          <w:szCs w:val="24"/>
          <w:lang w:val="sq-AL"/>
        </w:rPr>
      </w:pPr>
      <w:r w:rsidRPr="007922E5">
        <w:rPr>
          <w:rFonts w:ascii="Times New Roman" w:hAnsi="Times New Roman" w:cs="Times New Roman"/>
          <w:b/>
          <w:sz w:val="24"/>
          <w:szCs w:val="24"/>
          <w:lang w:val="sq-AL"/>
        </w:rPr>
        <w:t>Shoqëria civile</w:t>
      </w:r>
    </w:p>
    <w:p w:rsidR="00C82767" w:rsidRPr="007922E5" w:rsidRDefault="00C82767" w:rsidP="00E87455">
      <w:pPr>
        <w:shd w:val="clear" w:color="auto" w:fill="AEAAAA" w:themeFill="background2" w:themeFillShade="BF"/>
        <w:jc w:val="both"/>
        <w:rPr>
          <w:rFonts w:ascii="Times New Roman" w:hAnsi="Times New Roman" w:cs="Times New Roman"/>
          <w:sz w:val="24"/>
          <w:szCs w:val="24"/>
        </w:rPr>
      </w:pPr>
      <w:r w:rsidRPr="00E87455">
        <w:rPr>
          <w:rFonts w:ascii="Times New Roman" w:hAnsi="Times New Roman" w:cs="Times New Roman"/>
          <w:i/>
          <w:iCs/>
          <w:sz w:val="24"/>
          <w:szCs w:val="24"/>
          <w:lang w:val="sq-AL"/>
        </w:rPr>
        <w:t>Zbatimi i ligjit të ri për regjistrimin e organizatave jofitimprurëse i miratuar në qershor 2021 ende nuk ka filluar</w:t>
      </w:r>
      <w:r w:rsidRPr="007922E5">
        <w:rPr>
          <w:rFonts w:ascii="Times New Roman" w:hAnsi="Times New Roman" w:cs="Times New Roman"/>
          <w:sz w:val="24"/>
          <w:szCs w:val="24"/>
          <w:lang w:val="sq-AL"/>
        </w:rPr>
        <w:t xml:space="preserve">. Këshilli i Lartë Gjyqësor ka marrë një buxhet për të prokuruar regjistrin elektronik të Organizatave Jofitimprurëse dhe ka lidhur një kontratë për zbatimin e tij në </w:t>
      </w:r>
      <w:r w:rsidR="00095E2E" w:rsidRPr="007922E5">
        <w:rPr>
          <w:rFonts w:ascii="Times New Roman" w:hAnsi="Times New Roman" w:cs="Times New Roman"/>
          <w:sz w:val="24"/>
          <w:szCs w:val="24"/>
          <w:lang w:val="sq-AL"/>
        </w:rPr>
        <w:t>M</w:t>
      </w:r>
      <w:r w:rsidRPr="007922E5">
        <w:rPr>
          <w:rFonts w:ascii="Times New Roman" w:hAnsi="Times New Roman" w:cs="Times New Roman"/>
          <w:sz w:val="24"/>
          <w:szCs w:val="24"/>
          <w:lang w:val="sq-AL"/>
        </w:rPr>
        <w:t xml:space="preserve">aj 2022. </w:t>
      </w:r>
      <w:r w:rsidRPr="00E87455">
        <w:rPr>
          <w:rFonts w:ascii="Times New Roman" w:hAnsi="Times New Roman" w:cs="Times New Roman"/>
          <w:b/>
          <w:bCs/>
          <w:i/>
          <w:iCs/>
          <w:sz w:val="24"/>
          <w:szCs w:val="24"/>
          <w:lang w:val="sq-AL"/>
        </w:rPr>
        <w:t xml:space="preserve">Nuk ka pasur progres në zbatimin e udhërrëfyesit për një mjedis të favorshëm për shoqërinë civile, veçanërisht </w:t>
      </w:r>
      <w:r w:rsidR="00095E2E" w:rsidRPr="00E87455">
        <w:rPr>
          <w:rFonts w:ascii="Times New Roman" w:hAnsi="Times New Roman" w:cs="Times New Roman"/>
          <w:b/>
          <w:bCs/>
          <w:i/>
          <w:iCs/>
          <w:sz w:val="24"/>
          <w:szCs w:val="24"/>
          <w:lang w:val="sq-AL"/>
        </w:rPr>
        <w:t>q</w:t>
      </w:r>
      <w:r w:rsidR="00AE0C0D" w:rsidRPr="00E87455">
        <w:rPr>
          <w:rFonts w:ascii="Times New Roman" w:hAnsi="Times New Roman" w:cs="Times New Roman"/>
          <w:b/>
          <w:bCs/>
          <w:i/>
          <w:iCs/>
          <w:sz w:val="24"/>
          <w:szCs w:val="24"/>
          <w:lang w:val="sq-AL"/>
        </w:rPr>
        <w:t>ë</w:t>
      </w:r>
      <w:r w:rsidRPr="00E87455">
        <w:rPr>
          <w:rFonts w:ascii="Times New Roman" w:hAnsi="Times New Roman" w:cs="Times New Roman"/>
          <w:b/>
          <w:bCs/>
          <w:i/>
          <w:iCs/>
          <w:sz w:val="24"/>
          <w:szCs w:val="24"/>
          <w:lang w:val="sq-AL"/>
        </w:rPr>
        <w:t xml:space="preserve"> ka të bëjë me ligjin për vullnetarizmin.</w:t>
      </w:r>
      <w:r w:rsidRPr="007922E5">
        <w:rPr>
          <w:rFonts w:ascii="Times New Roman" w:hAnsi="Times New Roman" w:cs="Times New Roman"/>
          <w:sz w:val="24"/>
          <w:szCs w:val="24"/>
          <w:lang w:val="sq-AL"/>
        </w:rPr>
        <w:t xml:space="preserve"> </w:t>
      </w:r>
      <w:r w:rsidR="00E87455" w:rsidRPr="00E87455">
        <w:rPr>
          <w:rFonts w:ascii="Times New Roman" w:hAnsi="Times New Roman" w:cs="Times New Roman"/>
          <w:i/>
          <w:iCs/>
          <w:sz w:val="24"/>
          <w:szCs w:val="24"/>
          <w:lang w:val="sq-AL"/>
        </w:rPr>
        <w:t>Duhet ende të forcohet b</w:t>
      </w:r>
      <w:r w:rsidRPr="00E87455">
        <w:rPr>
          <w:rFonts w:ascii="Times New Roman" w:hAnsi="Times New Roman" w:cs="Times New Roman"/>
          <w:i/>
          <w:iCs/>
          <w:sz w:val="24"/>
          <w:szCs w:val="24"/>
          <w:lang w:val="sq-AL"/>
        </w:rPr>
        <w:t>ashkëpunimi i institucionalizuar ndërmjet shoqërisë civile dhe qeverisë për të siguruar pjesëmarrje domethënëse të Organizatave të Shoqërisë Civile (OSHC) në proceset vendimmarrëse, duke përfshirë edhe në kontekstin e negociatave të anëtarësimit në BE.</w:t>
      </w:r>
      <w:r w:rsidRPr="007922E5">
        <w:rPr>
          <w:rFonts w:ascii="Times New Roman" w:hAnsi="Times New Roman" w:cs="Times New Roman"/>
          <w:sz w:val="24"/>
          <w:szCs w:val="24"/>
          <w:lang w:val="sq-AL"/>
        </w:rPr>
        <w:t xml:space="preserve"> Progres, ndonëse i kufizuar, është bërë në fushën e rimbursimit të TVSH-së.</w:t>
      </w:r>
    </w:p>
    <w:p w:rsidR="00C82767" w:rsidRPr="007922E5" w:rsidRDefault="00C82767"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Një shoqëri civile e fuqizuar është një komponent kyç i çdo sistemi demokratik dhe vazhdon të njihet si e tillë nga institucionet shtetërore.</w:t>
      </w:r>
    </w:p>
    <w:p w:rsidR="00C82767" w:rsidRPr="007922E5" w:rsidRDefault="00C82767"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 xml:space="preserve">Kuadri ligjor dhe rregullator i Shqipërisë </w:t>
      </w:r>
      <w:r w:rsidRPr="00E87455">
        <w:rPr>
          <w:rFonts w:ascii="Times New Roman" w:hAnsi="Times New Roman" w:cs="Times New Roman"/>
          <w:b/>
          <w:bCs/>
          <w:i/>
          <w:iCs/>
          <w:sz w:val="24"/>
          <w:szCs w:val="24"/>
          <w:lang w:val="sq-AL"/>
        </w:rPr>
        <w:t>për të drejtën e lirisë së tubimit dhe organizimit</w:t>
      </w:r>
      <w:r w:rsidRPr="007922E5">
        <w:rPr>
          <w:rFonts w:ascii="Times New Roman" w:hAnsi="Times New Roman" w:cs="Times New Roman"/>
          <w:sz w:val="24"/>
          <w:szCs w:val="24"/>
          <w:lang w:val="sq-AL"/>
        </w:rPr>
        <w:t xml:space="preserve"> është përgjithësisht në përputhje me standardet ndërkombëtare. Kufizimet në lidhje me pandeminë COVID-19 që soll</w:t>
      </w:r>
      <w:r w:rsidR="00E87455">
        <w:rPr>
          <w:rFonts w:ascii="Times New Roman" w:hAnsi="Times New Roman" w:cs="Times New Roman"/>
          <w:sz w:val="24"/>
          <w:szCs w:val="24"/>
          <w:lang w:val="sq-AL"/>
        </w:rPr>
        <w:t>en</w:t>
      </w:r>
      <w:r w:rsidRPr="007922E5">
        <w:rPr>
          <w:rFonts w:ascii="Times New Roman" w:hAnsi="Times New Roman" w:cs="Times New Roman"/>
          <w:sz w:val="24"/>
          <w:szCs w:val="24"/>
          <w:lang w:val="sq-AL"/>
        </w:rPr>
        <w:t xml:space="preserve"> kufizime në lirinë e tubimit u hoqën në fillim të vitit 2022. Ligji i ri për Regjistrimin e Organizatave Jofitimprurëse i miratuar në qershor 2021</w:t>
      </w:r>
      <w:r w:rsidR="00E87455">
        <w:rPr>
          <w:rFonts w:ascii="Times New Roman" w:hAnsi="Times New Roman" w:cs="Times New Roman"/>
          <w:sz w:val="24"/>
          <w:szCs w:val="24"/>
          <w:lang w:val="sq-AL"/>
        </w:rPr>
        <w:t>,</w:t>
      </w:r>
      <w:r w:rsidRPr="007922E5">
        <w:rPr>
          <w:rFonts w:ascii="Times New Roman" w:hAnsi="Times New Roman" w:cs="Times New Roman"/>
          <w:sz w:val="24"/>
          <w:szCs w:val="24"/>
          <w:lang w:val="sq-AL"/>
        </w:rPr>
        <w:t xml:space="preserve"> pritet të lehtësojë procesin e regjistrimit dhe të rrisë transparencën, por </w:t>
      </w:r>
      <w:r w:rsidR="00E87455" w:rsidRPr="007922E5">
        <w:rPr>
          <w:rFonts w:ascii="Times New Roman" w:hAnsi="Times New Roman" w:cs="Times New Roman"/>
          <w:sz w:val="24"/>
          <w:szCs w:val="24"/>
          <w:lang w:val="sq-AL"/>
        </w:rPr>
        <w:t xml:space="preserve">ende nuk ka filluar </w:t>
      </w:r>
      <w:r w:rsidRPr="007922E5">
        <w:rPr>
          <w:rFonts w:ascii="Times New Roman" w:hAnsi="Times New Roman" w:cs="Times New Roman"/>
          <w:sz w:val="24"/>
          <w:szCs w:val="24"/>
          <w:lang w:val="sq-AL"/>
        </w:rPr>
        <w:t xml:space="preserve">zbatimi i tij. Ai synon gjithashtu përmbushjen e Planit të Veprimit të FATF-së (shih Kapitullin 24 – Drejtësia, Liria dhe Siguria). Krijimi i një regjistri elektronik kombëtar nën përgjegjësinë e Këshillit të Lartë Gjyqësor, i parashikuar në ligjin e ri, pritet deri në fund të vitit 2023. Këshilli i Lartë Gjyqësor ka marrë tashmë </w:t>
      </w:r>
      <w:r w:rsidR="007C3576">
        <w:rPr>
          <w:rFonts w:ascii="Times New Roman" w:hAnsi="Times New Roman" w:cs="Times New Roman"/>
          <w:sz w:val="24"/>
          <w:szCs w:val="24"/>
          <w:lang w:val="sq-AL"/>
        </w:rPr>
        <w:t>buxhet</w:t>
      </w:r>
      <w:r w:rsidRPr="007922E5">
        <w:rPr>
          <w:rFonts w:ascii="Times New Roman" w:hAnsi="Times New Roman" w:cs="Times New Roman"/>
          <w:sz w:val="24"/>
          <w:szCs w:val="24"/>
          <w:lang w:val="sq-AL"/>
        </w:rPr>
        <w:t xml:space="preserve"> për prokurimin e regjistrit elektronik dhe ka lidhur një kontratë për zbatimi</w:t>
      </w:r>
      <w:r w:rsidR="00236574" w:rsidRPr="007922E5">
        <w:rPr>
          <w:rFonts w:ascii="Times New Roman" w:hAnsi="Times New Roman" w:cs="Times New Roman"/>
          <w:sz w:val="24"/>
          <w:szCs w:val="24"/>
          <w:lang w:val="sq-AL"/>
        </w:rPr>
        <w:t>n e tij</w:t>
      </w:r>
      <w:r w:rsidRPr="007922E5">
        <w:rPr>
          <w:rFonts w:ascii="Times New Roman" w:hAnsi="Times New Roman" w:cs="Times New Roman"/>
          <w:sz w:val="24"/>
          <w:szCs w:val="24"/>
          <w:lang w:val="sq-AL"/>
        </w:rPr>
        <w:t xml:space="preserve"> </w:t>
      </w:r>
      <w:r w:rsidR="00236574" w:rsidRPr="007922E5">
        <w:rPr>
          <w:rFonts w:ascii="Times New Roman" w:hAnsi="Times New Roman" w:cs="Times New Roman"/>
          <w:sz w:val="24"/>
          <w:szCs w:val="24"/>
          <w:lang w:val="sq-AL"/>
        </w:rPr>
        <w:t>në</w:t>
      </w:r>
      <w:r w:rsidRPr="007922E5">
        <w:rPr>
          <w:rFonts w:ascii="Times New Roman" w:hAnsi="Times New Roman" w:cs="Times New Roman"/>
          <w:sz w:val="24"/>
          <w:szCs w:val="24"/>
          <w:lang w:val="sq-AL"/>
        </w:rPr>
        <w:t xml:space="preserve"> maj. Ndërkohë, OShC-të vazhdojnë të regjistrohen sipas ligjit të vjetër të vitit 2001.</w:t>
      </w:r>
    </w:p>
    <w:p w:rsidR="00C82767" w:rsidRPr="004C2702" w:rsidRDefault="00C82767" w:rsidP="00E31BC3">
      <w:pPr>
        <w:jc w:val="both"/>
        <w:rPr>
          <w:rFonts w:ascii="Times New Roman" w:hAnsi="Times New Roman" w:cs="Times New Roman"/>
          <w:b/>
          <w:bCs/>
          <w:i/>
          <w:iCs/>
          <w:sz w:val="24"/>
          <w:szCs w:val="24"/>
          <w:lang w:val="sq-AL"/>
        </w:rPr>
      </w:pPr>
      <w:r w:rsidRPr="004C2702">
        <w:rPr>
          <w:rFonts w:ascii="Times New Roman" w:hAnsi="Times New Roman" w:cs="Times New Roman"/>
          <w:b/>
          <w:bCs/>
          <w:i/>
          <w:iCs/>
          <w:sz w:val="24"/>
          <w:szCs w:val="24"/>
          <w:lang w:val="sq-AL"/>
        </w:rPr>
        <w:t xml:space="preserve">Nuk ka pasur progres në zbatimin e udhërrëfyesit për një mjedis të favorshëm për shoqërinë civile. </w:t>
      </w:r>
      <w:r w:rsidR="00286F84" w:rsidRPr="004C2702">
        <w:rPr>
          <w:rFonts w:ascii="Times New Roman" w:hAnsi="Times New Roman" w:cs="Times New Roman"/>
          <w:b/>
          <w:bCs/>
          <w:i/>
          <w:iCs/>
          <w:sz w:val="24"/>
          <w:szCs w:val="24"/>
          <w:lang w:val="sq-AL"/>
        </w:rPr>
        <w:t>Ai</w:t>
      </w:r>
      <w:r w:rsidRPr="004C2702">
        <w:rPr>
          <w:rFonts w:ascii="Times New Roman" w:hAnsi="Times New Roman" w:cs="Times New Roman"/>
          <w:b/>
          <w:bCs/>
          <w:i/>
          <w:iCs/>
          <w:sz w:val="24"/>
          <w:szCs w:val="24"/>
          <w:lang w:val="sq-AL"/>
        </w:rPr>
        <w:t xml:space="preserve"> mbetet </w:t>
      </w:r>
      <w:r w:rsidR="00286F84" w:rsidRPr="004C2702">
        <w:rPr>
          <w:rFonts w:ascii="Times New Roman" w:hAnsi="Times New Roman" w:cs="Times New Roman"/>
          <w:b/>
          <w:bCs/>
          <w:i/>
          <w:iCs/>
          <w:sz w:val="24"/>
          <w:szCs w:val="24"/>
          <w:lang w:val="sq-AL"/>
        </w:rPr>
        <w:t>i</w:t>
      </w:r>
      <w:r w:rsidRPr="004C2702">
        <w:rPr>
          <w:rFonts w:ascii="Times New Roman" w:hAnsi="Times New Roman" w:cs="Times New Roman"/>
          <w:b/>
          <w:bCs/>
          <w:i/>
          <w:iCs/>
          <w:sz w:val="24"/>
          <w:szCs w:val="24"/>
          <w:lang w:val="sq-AL"/>
        </w:rPr>
        <w:t xml:space="preserve"> varur </w:t>
      </w:r>
      <w:r w:rsidR="00236574" w:rsidRPr="004C2702">
        <w:rPr>
          <w:rFonts w:ascii="Times New Roman" w:hAnsi="Times New Roman" w:cs="Times New Roman"/>
          <w:b/>
          <w:bCs/>
          <w:i/>
          <w:iCs/>
          <w:sz w:val="24"/>
          <w:szCs w:val="24"/>
          <w:lang w:val="sq-AL"/>
        </w:rPr>
        <w:t xml:space="preserve">fuqimisht </w:t>
      </w:r>
      <w:r w:rsidRPr="004C2702">
        <w:rPr>
          <w:rFonts w:ascii="Times New Roman" w:hAnsi="Times New Roman" w:cs="Times New Roman"/>
          <w:b/>
          <w:bCs/>
          <w:i/>
          <w:iCs/>
          <w:sz w:val="24"/>
          <w:szCs w:val="24"/>
          <w:lang w:val="sq-AL"/>
        </w:rPr>
        <w:t>nga mbështetja e donatorëve. Kërkohen përpjekje dhe burime shtesë për të avancuar zbatimin e tij. Asnjë përparim nuk është bërë në lidhje me ligjin për vullnetarizmin e renditur si një çështje që duhet adresuar në udhërrëfyes. Mekanizmi monitorues i udhërrëfyesit nuk funksionon plotësisht.</w:t>
      </w:r>
      <w:r w:rsidR="00236574" w:rsidRPr="004C2702">
        <w:rPr>
          <w:rFonts w:ascii="Times New Roman" w:hAnsi="Times New Roman" w:cs="Times New Roman"/>
          <w:b/>
          <w:bCs/>
          <w:i/>
          <w:iCs/>
          <w:sz w:val="24"/>
          <w:szCs w:val="24"/>
          <w:lang w:val="sq-AL"/>
        </w:rPr>
        <w:t xml:space="preserve"> </w:t>
      </w:r>
    </w:p>
    <w:p w:rsidR="00C82767" w:rsidRPr="004C2702" w:rsidRDefault="004C2702" w:rsidP="00E31BC3">
      <w:pPr>
        <w:jc w:val="both"/>
        <w:rPr>
          <w:rFonts w:ascii="Times New Roman" w:hAnsi="Times New Roman" w:cs="Times New Roman"/>
          <w:b/>
          <w:bCs/>
          <w:i/>
          <w:iCs/>
          <w:sz w:val="24"/>
          <w:szCs w:val="24"/>
          <w:lang w:val="sq-AL"/>
        </w:rPr>
      </w:pPr>
      <w:r>
        <w:rPr>
          <w:rFonts w:ascii="Times New Roman" w:hAnsi="Times New Roman" w:cs="Times New Roman"/>
          <w:sz w:val="24"/>
          <w:szCs w:val="24"/>
          <w:lang w:val="sq-AL"/>
        </w:rPr>
        <w:lastRenderedPageBreak/>
        <w:t>Ndersa</w:t>
      </w:r>
      <w:r w:rsidR="00C82767" w:rsidRPr="007922E5">
        <w:rPr>
          <w:rFonts w:ascii="Times New Roman" w:hAnsi="Times New Roman" w:cs="Times New Roman"/>
          <w:sz w:val="24"/>
          <w:szCs w:val="24"/>
          <w:lang w:val="sq-AL"/>
        </w:rPr>
        <w:t xml:space="preserve"> ligji i vitit 2014 për konsultimin publik,</w:t>
      </w:r>
      <w:r>
        <w:rPr>
          <w:rFonts w:ascii="Times New Roman" w:hAnsi="Times New Roman" w:cs="Times New Roman"/>
          <w:sz w:val="24"/>
          <w:szCs w:val="24"/>
          <w:lang w:val="sq-AL"/>
        </w:rPr>
        <w:t xml:space="preserve"> i cili</w:t>
      </w:r>
      <w:r w:rsidR="00C82767" w:rsidRPr="007922E5">
        <w:rPr>
          <w:rFonts w:ascii="Times New Roman" w:hAnsi="Times New Roman" w:cs="Times New Roman"/>
          <w:sz w:val="24"/>
          <w:szCs w:val="24"/>
          <w:lang w:val="sq-AL"/>
        </w:rPr>
        <w:t xml:space="preserve"> përcakton normat procedurale për transparencën dhe pjesëmarrjen e publikut në vendimmarrje</w:t>
      </w:r>
      <w:r w:rsidR="00236574" w:rsidRPr="007922E5">
        <w:rPr>
          <w:rFonts w:ascii="Times New Roman" w:hAnsi="Times New Roman" w:cs="Times New Roman"/>
          <w:sz w:val="24"/>
          <w:szCs w:val="24"/>
          <w:lang w:val="sq-AL"/>
        </w:rPr>
        <w:t xml:space="preserve"> </w:t>
      </w:r>
      <w:r w:rsidR="00C82767" w:rsidRPr="007922E5">
        <w:rPr>
          <w:rFonts w:ascii="Times New Roman" w:hAnsi="Times New Roman" w:cs="Times New Roman"/>
          <w:sz w:val="24"/>
          <w:szCs w:val="24"/>
          <w:lang w:val="sq-AL"/>
        </w:rPr>
        <w:t xml:space="preserve">është përgjithësisht në përputhje me standardet evropiane, </w:t>
      </w:r>
      <w:r w:rsidR="00C82767" w:rsidRPr="004C2702">
        <w:rPr>
          <w:rFonts w:ascii="Times New Roman" w:hAnsi="Times New Roman" w:cs="Times New Roman"/>
          <w:b/>
          <w:bCs/>
          <w:i/>
          <w:iCs/>
          <w:sz w:val="24"/>
          <w:szCs w:val="24"/>
          <w:lang w:val="sq-AL"/>
        </w:rPr>
        <w:t>konsultimet shpesh mbeten formale dhe jo kuptimplote.</w:t>
      </w:r>
      <w:r w:rsidR="00C82767" w:rsidRPr="007922E5">
        <w:rPr>
          <w:rFonts w:ascii="Times New Roman" w:hAnsi="Times New Roman" w:cs="Times New Roman"/>
          <w:sz w:val="24"/>
          <w:szCs w:val="24"/>
          <w:lang w:val="sq-AL"/>
        </w:rPr>
        <w:t xml:space="preserve"> </w:t>
      </w:r>
      <w:r w:rsidR="00C82767" w:rsidRPr="004C2702">
        <w:rPr>
          <w:rFonts w:ascii="Times New Roman" w:hAnsi="Times New Roman" w:cs="Times New Roman"/>
          <w:b/>
          <w:bCs/>
          <w:i/>
          <w:iCs/>
          <w:sz w:val="24"/>
          <w:szCs w:val="24"/>
          <w:lang w:val="sq-AL"/>
        </w:rPr>
        <w:t>Për më tepër, fushëveprimi i ligjit ende duhet të zgjerohet në vendimet e qeverisë (shih gjithashtu Reformën e Administratës Publike).</w:t>
      </w:r>
    </w:p>
    <w:p w:rsidR="00C82767" w:rsidRPr="004C2702" w:rsidRDefault="00C82767" w:rsidP="00E31BC3">
      <w:pPr>
        <w:jc w:val="both"/>
        <w:rPr>
          <w:rFonts w:ascii="Times New Roman" w:hAnsi="Times New Roman" w:cs="Times New Roman"/>
          <w:b/>
          <w:bCs/>
          <w:i/>
          <w:iCs/>
          <w:sz w:val="24"/>
          <w:szCs w:val="24"/>
          <w:lang w:val="sq-AL"/>
        </w:rPr>
      </w:pPr>
      <w:r w:rsidRPr="004C2702">
        <w:rPr>
          <w:rFonts w:ascii="Times New Roman" w:hAnsi="Times New Roman" w:cs="Times New Roman"/>
          <w:b/>
          <w:bCs/>
          <w:i/>
          <w:iCs/>
          <w:sz w:val="24"/>
          <w:szCs w:val="24"/>
          <w:lang w:val="sq-AL"/>
        </w:rPr>
        <w:t>Aftësia e Këshillit Kombëtar për Shoqërinë Civile për të shprehur prioritetet e OSHC-ve në proceset e politikëbërjes mbetet e dobët.</w:t>
      </w:r>
      <w:r w:rsidRPr="007922E5">
        <w:rPr>
          <w:rFonts w:ascii="Times New Roman" w:hAnsi="Times New Roman" w:cs="Times New Roman"/>
          <w:sz w:val="24"/>
          <w:szCs w:val="24"/>
          <w:lang w:val="sq-AL"/>
        </w:rPr>
        <w:t xml:space="preserve"> </w:t>
      </w:r>
      <w:r w:rsidRPr="004C2702">
        <w:rPr>
          <w:rFonts w:ascii="Times New Roman" w:hAnsi="Times New Roman" w:cs="Times New Roman"/>
          <w:b/>
          <w:bCs/>
          <w:i/>
          <w:iCs/>
          <w:sz w:val="24"/>
          <w:szCs w:val="24"/>
          <w:lang w:val="sq-AL"/>
        </w:rPr>
        <w:t>Ligji për Këshillin Kombëtar ende nuk është ndryshuar për të reflektuar ndryshimet në portofolet e ministrive dhe përfaqësimin në Këshill dhe për të përmirësuar funksionimin e tij.</w:t>
      </w:r>
    </w:p>
    <w:p w:rsidR="00C82767" w:rsidRPr="004C2702" w:rsidRDefault="00C82767"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Agjencia për Mbështetjen e Shoqërisë Civile mbetet organi kryesor publik që ofron mbështetje financiare për shoqërinë civile. Buxheti i saj tani është kthyer në nivelet e para-COVID-it, por </w:t>
      </w:r>
      <w:r w:rsidRPr="004C2702">
        <w:rPr>
          <w:rFonts w:ascii="Times New Roman" w:hAnsi="Times New Roman" w:cs="Times New Roman"/>
          <w:b/>
          <w:bCs/>
          <w:i/>
          <w:iCs/>
          <w:sz w:val="24"/>
          <w:szCs w:val="24"/>
          <w:lang w:val="sq-AL"/>
        </w:rPr>
        <w:t>financimi publik mbetet i pamjaftueshëm për të mbështetur aktivitetet e OSHC-ve, veçanërisht në shërbimet sociale.</w:t>
      </w:r>
    </w:p>
    <w:p w:rsidR="00C82767" w:rsidRPr="00705077" w:rsidRDefault="00C82767" w:rsidP="00E31BC3">
      <w:pPr>
        <w:jc w:val="both"/>
        <w:rPr>
          <w:rFonts w:ascii="Times New Roman" w:hAnsi="Times New Roman" w:cs="Times New Roman"/>
          <w:b/>
          <w:bCs/>
          <w:i/>
          <w:iCs/>
          <w:sz w:val="24"/>
          <w:szCs w:val="24"/>
          <w:lang w:val="sq-AL"/>
        </w:rPr>
      </w:pPr>
      <w:r w:rsidRPr="004C2702">
        <w:rPr>
          <w:rFonts w:ascii="Times New Roman" w:hAnsi="Times New Roman" w:cs="Times New Roman"/>
          <w:b/>
          <w:bCs/>
          <w:i/>
          <w:iCs/>
          <w:sz w:val="24"/>
          <w:szCs w:val="24"/>
          <w:lang w:val="sq-AL"/>
        </w:rPr>
        <w:t xml:space="preserve">Progres i kufizuar është bërë në fushën e rimbursimit të TVSH-së, me zbatimin e udhëzimeve për rimbursimin e TVSH-së për përfituesit e OSHC-ve të fondeve të BE-së dhe granteve të tjera të donatorëve. </w:t>
      </w:r>
      <w:r w:rsidRPr="007922E5">
        <w:rPr>
          <w:rFonts w:ascii="Times New Roman" w:hAnsi="Times New Roman" w:cs="Times New Roman"/>
          <w:sz w:val="24"/>
          <w:szCs w:val="24"/>
          <w:lang w:val="sq-AL"/>
        </w:rPr>
        <w:t xml:space="preserve">Tani ka prova të rasteve të para të rimbursimit të suksesshëm të TVSH-së. Megjithatë, procesi mbetet i gjatë dhe i mundimshëm. </w:t>
      </w:r>
      <w:r w:rsidRPr="00705077">
        <w:rPr>
          <w:rFonts w:ascii="Times New Roman" w:hAnsi="Times New Roman" w:cs="Times New Roman"/>
          <w:b/>
          <w:bCs/>
          <w:i/>
          <w:iCs/>
          <w:sz w:val="24"/>
          <w:szCs w:val="24"/>
          <w:lang w:val="sq-AL"/>
        </w:rPr>
        <w:t>Nevojiten përmirësime për një zbatim më efikas të rimbursimit të TVSH-së.</w:t>
      </w:r>
    </w:p>
    <w:p w:rsidR="00C82767" w:rsidRPr="00705077" w:rsidRDefault="00F042F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lang w:val="sq-AL"/>
        </w:rPr>
        <w:t>Akoma</w:t>
      </w:r>
      <w:r w:rsidR="00C82767" w:rsidRPr="007922E5">
        <w:rPr>
          <w:rFonts w:ascii="Times New Roman" w:hAnsi="Times New Roman" w:cs="Times New Roman"/>
          <w:sz w:val="24"/>
          <w:szCs w:val="24"/>
          <w:lang w:val="sq-AL"/>
        </w:rPr>
        <w:t xml:space="preserve"> nuk ka progres </w:t>
      </w:r>
      <w:r w:rsidR="00C82767" w:rsidRPr="00705077">
        <w:rPr>
          <w:rFonts w:ascii="Times New Roman" w:hAnsi="Times New Roman" w:cs="Times New Roman"/>
          <w:b/>
          <w:bCs/>
          <w:i/>
          <w:iCs/>
          <w:sz w:val="24"/>
          <w:szCs w:val="24"/>
          <w:lang w:val="sq-AL"/>
        </w:rPr>
        <w:t xml:space="preserve">sa i përket </w:t>
      </w:r>
      <w:r w:rsidR="00705077">
        <w:rPr>
          <w:rFonts w:ascii="Times New Roman" w:hAnsi="Times New Roman" w:cs="Times New Roman"/>
          <w:b/>
          <w:bCs/>
          <w:i/>
          <w:iCs/>
          <w:sz w:val="24"/>
          <w:szCs w:val="24"/>
          <w:lang w:val="sq-AL"/>
        </w:rPr>
        <w:t>incentivave</w:t>
      </w:r>
      <w:r w:rsidR="00C82767" w:rsidRPr="00705077">
        <w:rPr>
          <w:rFonts w:ascii="Times New Roman" w:hAnsi="Times New Roman" w:cs="Times New Roman"/>
          <w:b/>
          <w:bCs/>
          <w:i/>
          <w:iCs/>
          <w:sz w:val="24"/>
          <w:szCs w:val="24"/>
          <w:lang w:val="sq-AL"/>
        </w:rPr>
        <w:t xml:space="preserve"> tatimorë për donacionet e korporatave </w:t>
      </w:r>
      <w:r w:rsidRPr="00705077">
        <w:rPr>
          <w:rFonts w:ascii="Times New Roman" w:hAnsi="Times New Roman" w:cs="Times New Roman"/>
          <w:b/>
          <w:bCs/>
          <w:i/>
          <w:iCs/>
          <w:sz w:val="24"/>
          <w:szCs w:val="24"/>
          <w:lang w:val="sq-AL"/>
        </w:rPr>
        <w:t xml:space="preserve">dhe </w:t>
      </w:r>
      <w:r w:rsidR="00034D20" w:rsidRPr="00705077">
        <w:rPr>
          <w:rFonts w:ascii="Times New Roman" w:hAnsi="Times New Roman" w:cs="Times New Roman"/>
          <w:b/>
          <w:bCs/>
          <w:i/>
          <w:iCs/>
          <w:sz w:val="24"/>
          <w:szCs w:val="24"/>
          <w:lang w:val="sq-AL"/>
        </w:rPr>
        <w:t>mungesa e t</w:t>
      </w:r>
      <w:r w:rsidR="00AE0C0D" w:rsidRPr="00705077">
        <w:rPr>
          <w:rFonts w:ascii="Times New Roman" w:hAnsi="Times New Roman" w:cs="Times New Roman"/>
          <w:b/>
          <w:bCs/>
          <w:i/>
          <w:iCs/>
          <w:sz w:val="24"/>
          <w:szCs w:val="24"/>
          <w:lang w:val="sq-AL"/>
        </w:rPr>
        <w:t>ë</w:t>
      </w:r>
      <w:r w:rsidR="00034D20" w:rsidRPr="00705077">
        <w:rPr>
          <w:rFonts w:ascii="Times New Roman" w:hAnsi="Times New Roman" w:cs="Times New Roman"/>
          <w:b/>
          <w:bCs/>
          <w:i/>
          <w:iCs/>
          <w:sz w:val="24"/>
          <w:szCs w:val="24"/>
          <w:lang w:val="sq-AL"/>
        </w:rPr>
        <w:t xml:space="preserve"> cil</w:t>
      </w:r>
      <w:r w:rsidR="00AE0C0D" w:rsidRPr="00705077">
        <w:rPr>
          <w:rFonts w:ascii="Times New Roman" w:hAnsi="Times New Roman" w:cs="Times New Roman"/>
          <w:b/>
          <w:bCs/>
          <w:i/>
          <w:iCs/>
          <w:sz w:val="24"/>
          <w:szCs w:val="24"/>
          <w:lang w:val="sq-AL"/>
        </w:rPr>
        <w:t>ë</w:t>
      </w:r>
      <w:r w:rsidR="00034D20" w:rsidRPr="00705077">
        <w:rPr>
          <w:rFonts w:ascii="Times New Roman" w:hAnsi="Times New Roman" w:cs="Times New Roman"/>
          <w:b/>
          <w:bCs/>
          <w:i/>
          <w:iCs/>
          <w:sz w:val="24"/>
          <w:szCs w:val="24"/>
          <w:lang w:val="sq-AL"/>
        </w:rPr>
        <w:t>s</w:t>
      </w:r>
      <w:r w:rsidRPr="00705077">
        <w:rPr>
          <w:rFonts w:ascii="Times New Roman" w:hAnsi="Times New Roman" w:cs="Times New Roman"/>
          <w:b/>
          <w:bCs/>
          <w:i/>
          <w:iCs/>
          <w:sz w:val="24"/>
          <w:szCs w:val="24"/>
          <w:lang w:val="sq-AL"/>
        </w:rPr>
        <w:t xml:space="preserve"> nuk</w:t>
      </w:r>
      <w:r w:rsidR="00C82767" w:rsidRPr="00705077">
        <w:rPr>
          <w:rFonts w:ascii="Times New Roman" w:hAnsi="Times New Roman" w:cs="Times New Roman"/>
          <w:b/>
          <w:bCs/>
          <w:i/>
          <w:iCs/>
          <w:sz w:val="24"/>
          <w:szCs w:val="24"/>
          <w:lang w:val="sq-AL"/>
        </w:rPr>
        <w:t xml:space="preserve"> promovon donacione </w:t>
      </w:r>
      <w:r w:rsidRPr="00705077">
        <w:rPr>
          <w:rFonts w:ascii="Times New Roman" w:hAnsi="Times New Roman" w:cs="Times New Roman"/>
          <w:b/>
          <w:bCs/>
          <w:i/>
          <w:iCs/>
          <w:sz w:val="24"/>
          <w:szCs w:val="24"/>
          <w:lang w:val="sq-AL"/>
        </w:rPr>
        <w:t>t</w:t>
      </w:r>
      <w:r w:rsidR="00AE0C0D" w:rsidRPr="00705077">
        <w:rPr>
          <w:rFonts w:ascii="Times New Roman" w:hAnsi="Times New Roman" w:cs="Times New Roman"/>
          <w:b/>
          <w:bCs/>
          <w:i/>
          <w:iCs/>
          <w:sz w:val="24"/>
          <w:szCs w:val="24"/>
          <w:lang w:val="sq-AL"/>
        </w:rPr>
        <w:t>ë</w:t>
      </w:r>
      <w:r w:rsidR="00C82767" w:rsidRPr="00705077">
        <w:rPr>
          <w:rFonts w:ascii="Times New Roman" w:hAnsi="Times New Roman" w:cs="Times New Roman"/>
          <w:b/>
          <w:bCs/>
          <w:i/>
          <w:iCs/>
          <w:sz w:val="24"/>
          <w:szCs w:val="24"/>
          <w:lang w:val="sq-AL"/>
        </w:rPr>
        <w:t xml:space="preserve"> kompanive për OSHC-të dhe </w:t>
      </w:r>
      <w:r w:rsidR="00034D20" w:rsidRPr="00705077">
        <w:rPr>
          <w:rFonts w:ascii="Times New Roman" w:hAnsi="Times New Roman" w:cs="Times New Roman"/>
          <w:b/>
          <w:bCs/>
          <w:i/>
          <w:iCs/>
          <w:sz w:val="24"/>
          <w:szCs w:val="24"/>
          <w:lang w:val="sq-AL"/>
        </w:rPr>
        <w:t>as</w:t>
      </w:r>
      <w:r w:rsidR="00C82767" w:rsidRPr="00705077">
        <w:rPr>
          <w:rFonts w:ascii="Times New Roman" w:hAnsi="Times New Roman" w:cs="Times New Roman"/>
          <w:b/>
          <w:bCs/>
          <w:i/>
          <w:iCs/>
          <w:sz w:val="24"/>
          <w:szCs w:val="24"/>
          <w:lang w:val="sq-AL"/>
        </w:rPr>
        <w:t xml:space="preserve"> për donacionet individuale.</w:t>
      </w:r>
    </w:p>
    <w:p w:rsidR="00C144D3" w:rsidRPr="007922E5" w:rsidRDefault="00C144D3" w:rsidP="00C144D3">
      <w:pPr>
        <w:rPr>
          <w:rFonts w:ascii="Times New Roman" w:hAnsi="Times New Roman" w:cs="Times New Roman"/>
          <w:b/>
          <w:bCs/>
          <w:sz w:val="24"/>
          <w:szCs w:val="24"/>
          <w:lang w:val="sq-AL"/>
        </w:rPr>
      </w:pPr>
      <w:r w:rsidRPr="007922E5">
        <w:rPr>
          <w:rFonts w:ascii="Times New Roman" w:hAnsi="Times New Roman" w:cs="Times New Roman"/>
          <w:b/>
          <w:bCs/>
          <w:sz w:val="24"/>
          <w:szCs w:val="24"/>
          <w:lang w:val="sq-AL"/>
        </w:rPr>
        <w:t>2.1.2. Reforma në Administratën Publike</w:t>
      </w:r>
    </w:p>
    <w:p w:rsidR="00C144D3" w:rsidRPr="009B3B88" w:rsidRDefault="00C144D3" w:rsidP="009B3B88">
      <w:pPr>
        <w:shd w:val="clear" w:color="auto" w:fill="AEAAAA" w:themeFill="background2" w:themeFillShade="BF"/>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Shqipëria </w:t>
      </w:r>
      <w:r w:rsidRPr="009B3B88">
        <w:rPr>
          <w:rFonts w:ascii="Times New Roman" w:hAnsi="Times New Roman" w:cs="Times New Roman"/>
          <w:b/>
          <w:bCs/>
          <w:i/>
          <w:iCs/>
          <w:sz w:val="24"/>
          <w:szCs w:val="24"/>
          <w:lang w:val="sq-AL"/>
        </w:rPr>
        <w:t>mbetet mesatarisht e përgatitur në fushën e reformës së administratës publike</w:t>
      </w:r>
      <w:r w:rsidRPr="007922E5">
        <w:rPr>
          <w:rFonts w:ascii="Times New Roman" w:hAnsi="Times New Roman" w:cs="Times New Roman"/>
          <w:sz w:val="24"/>
          <w:szCs w:val="24"/>
          <w:lang w:val="sq-AL"/>
        </w:rPr>
        <w:t xml:space="preserve">. Ajo bëri përparim të kufizuar në zbatimin e rekomandimeve të vitit të kaluar. U forcuan kapacitetet për konsultime publike dhe vlerësime të ndikimit rregullator, filluan përgatitjet për reformën e pagave dhe u zgjerua sistemi i automatizuar i listës së pagave. Zbatimi i reformës së administratës publike 2015-2022 dhe strategjive të reformës së menaxhimit të financave publike 2014-2022 vazhdoi. </w:t>
      </w:r>
      <w:r w:rsidRPr="009B3B88">
        <w:rPr>
          <w:rFonts w:ascii="Times New Roman" w:hAnsi="Times New Roman" w:cs="Times New Roman"/>
          <w:b/>
          <w:bCs/>
          <w:i/>
          <w:iCs/>
          <w:sz w:val="24"/>
          <w:szCs w:val="24"/>
          <w:lang w:val="sq-AL"/>
        </w:rPr>
        <w:t xml:space="preserve">Megjithatë, </w:t>
      </w:r>
      <w:r w:rsidR="009B3B88" w:rsidRPr="009B3B88">
        <w:rPr>
          <w:rFonts w:ascii="Times New Roman" w:hAnsi="Times New Roman" w:cs="Times New Roman"/>
          <w:b/>
          <w:bCs/>
          <w:i/>
          <w:iCs/>
          <w:sz w:val="24"/>
          <w:szCs w:val="24"/>
          <w:lang w:val="sq-AL"/>
        </w:rPr>
        <w:t>strukurat</w:t>
      </w:r>
      <w:r w:rsidRPr="009B3B88">
        <w:rPr>
          <w:rFonts w:ascii="Times New Roman" w:hAnsi="Times New Roman" w:cs="Times New Roman"/>
          <w:b/>
          <w:bCs/>
          <w:i/>
          <w:iCs/>
          <w:sz w:val="24"/>
          <w:szCs w:val="24"/>
          <w:lang w:val="sq-AL"/>
        </w:rPr>
        <w:t xml:space="preserve"> në varësi të ministrive (agjencive) vazhduan të krijohen pa një kornizë gjithëpërfshirëse drejtuese, vëmendje sistematike ndaj mbikëqyrjes ose linja të qarta raportimi. At</w:t>
      </w:r>
      <w:r w:rsidR="009B3B88" w:rsidRPr="009B3B88">
        <w:rPr>
          <w:rFonts w:ascii="Times New Roman" w:hAnsi="Times New Roman" w:cs="Times New Roman"/>
          <w:b/>
          <w:bCs/>
          <w:i/>
          <w:iCs/>
          <w:sz w:val="24"/>
          <w:szCs w:val="24"/>
          <w:lang w:val="sq-AL"/>
        </w:rPr>
        <w:t>o</w:t>
      </w:r>
      <w:r w:rsidRPr="009B3B88">
        <w:rPr>
          <w:rFonts w:ascii="Times New Roman" w:hAnsi="Times New Roman" w:cs="Times New Roman"/>
          <w:b/>
          <w:bCs/>
          <w:i/>
          <w:iCs/>
          <w:sz w:val="24"/>
          <w:szCs w:val="24"/>
          <w:lang w:val="sq-AL"/>
        </w:rPr>
        <w:t xml:space="preserve"> gjithashtu e përkeqësuan më tej çështjen e detyrave që i besoheshin personelit të punësuar sipas Kodit të Punës, në vend të nëpunësve civilë. Dispozitat për rekrutimin e bazuar në merita në ligjin e shërbimit civil mbeten për t'u zbatuar plotësisht, veçanërisht për pozitat e nivelit të lartë.</w:t>
      </w:r>
      <w:r w:rsidRPr="007922E5">
        <w:rPr>
          <w:rFonts w:ascii="Times New Roman" w:hAnsi="Times New Roman" w:cs="Times New Roman"/>
          <w:sz w:val="24"/>
          <w:szCs w:val="24"/>
          <w:lang w:val="sq-AL"/>
        </w:rPr>
        <w:t xml:space="preserve"> Shqipëria ka krijuar një platformë gjithëpërfshirëse për shërbimet dixhitale – një zhvendosje e shpejtë drejt 100% të shërbimeve online hyri në fuqi më 1 maj 2022. </w:t>
      </w:r>
      <w:r w:rsidRPr="009B3B88">
        <w:rPr>
          <w:rFonts w:ascii="Times New Roman" w:hAnsi="Times New Roman" w:cs="Times New Roman"/>
          <w:b/>
          <w:bCs/>
          <w:i/>
          <w:iCs/>
          <w:sz w:val="24"/>
          <w:szCs w:val="24"/>
          <w:lang w:val="sq-AL"/>
        </w:rPr>
        <w:t>Megjithatë, ajo duhet të sigurojë akses të barabartë për qytetarët me aftësi të kufizuara dixhitale.</w:t>
      </w:r>
    </w:p>
    <w:p w:rsidR="00C144D3" w:rsidRPr="007922E5" w:rsidRDefault="00C144D3" w:rsidP="009B3B88">
      <w:p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lang w:val="sq-AL"/>
        </w:rPr>
        <w:t>Rekomandimet e Komisionit për vitin 2021 mbeten kryesisht të vlefshme. Në vitin e ardhshëm, Shqipëria duhet në veçanti:</w:t>
      </w:r>
    </w:p>
    <w:p w:rsidR="00C144D3" w:rsidRPr="009B3B88" w:rsidRDefault="00C144D3" w:rsidP="009B3B88">
      <w:pPr>
        <w:shd w:val="clear" w:color="auto" w:fill="AEAAAA" w:themeFill="background2" w:themeFillShade="BF"/>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lastRenderedPageBreak/>
        <w:sym w:font="Symbol" w:char="F0AE"/>
      </w:r>
      <w:r w:rsidRPr="007922E5">
        <w:rPr>
          <w:rFonts w:ascii="Times New Roman" w:hAnsi="Times New Roman" w:cs="Times New Roman"/>
          <w:sz w:val="24"/>
          <w:szCs w:val="24"/>
          <w:lang w:val="sq-AL"/>
        </w:rPr>
        <w:t xml:space="preserve"> </w:t>
      </w:r>
      <w:r w:rsidRPr="009B3B88">
        <w:rPr>
          <w:rFonts w:ascii="Times New Roman" w:hAnsi="Times New Roman" w:cs="Times New Roman"/>
          <w:b/>
          <w:bCs/>
          <w:i/>
          <w:iCs/>
          <w:sz w:val="24"/>
          <w:szCs w:val="24"/>
          <w:lang w:val="sq-AL"/>
        </w:rPr>
        <w:t>të rrisi kapacitetet për planifikimin dhe monitorimin e politikave dhe të garantojë që organet mbikëqyrëse dhe vartëse të administratës qendrore të jenë të strukturuara mirë dhe të caktohen role të qarta;</w:t>
      </w:r>
    </w:p>
    <w:p w:rsidR="00C144D3" w:rsidRPr="009B3B88" w:rsidRDefault="00C144D3" w:rsidP="009B3B88">
      <w:pPr>
        <w:shd w:val="clear" w:color="auto" w:fill="AEAAAA" w:themeFill="background2" w:themeFillShade="BF"/>
        <w:jc w:val="both"/>
        <w:rPr>
          <w:rFonts w:ascii="Times New Roman" w:hAnsi="Times New Roman" w:cs="Times New Roman"/>
          <w:b/>
          <w:bCs/>
          <w:i/>
          <w:iCs/>
          <w:sz w:val="24"/>
          <w:szCs w:val="24"/>
          <w:lang w:val="sq-AL"/>
        </w:rPr>
      </w:pPr>
      <w:r w:rsidRPr="009B3B88">
        <w:rPr>
          <w:rFonts w:ascii="Times New Roman" w:hAnsi="Times New Roman" w:cs="Times New Roman"/>
          <w:b/>
          <w:bCs/>
          <w:i/>
          <w:iCs/>
          <w:sz w:val="24"/>
          <w:szCs w:val="24"/>
          <w:lang w:val="sq-AL"/>
        </w:rPr>
        <w:sym w:font="Symbol" w:char="F0AE"/>
      </w:r>
      <w:r w:rsidRPr="009B3B88">
        <w:rPr>
          <w:rFonts w:ascii="Times New Roman" w:hAnsi="Times New Roman" w:cs="Times New Roman"/>
          <w:b/>
          <w:bCs/>
          <w:i/>
          <w:iCs/>
          <w:sz w:val="24"/>
          <w:szCs w:val="24"/>
          <w:lang w:val="sq-AL"/>
        </w:rPr>
        <w:t xml:space="preserve"> të përgatisë strategji të reja të menaxhimit të administratës publike dhe financave publike në përputhje me strategjitë përkatëse sektoriale, dhe njëkohësisht të rishikojë efektivitetin e strukturave aktuale të monitorimit;</w:t>
      </w:r>
    </w:p>
    <w:p w:rsidR="00C144D3" w:rsidRPr="009B3B88" w:rsidRDefault="00C144D3" w:rsidP="009B3B88">
      <w:pPr>
        <w:shd w:val="clear" w:color="auto" w:fill="AEAAAA" w:themeFill="background2" w:themeFillShade="BF"/>
        <w:jc w:val="both"/>
        <w:rPr>
          <w:rFonts w:ascii="Times New Roman" w:hAnsi="Times New Roman" w:cs="Times New Roman"/>
          <w:b/>
          <w:bCs/>
          <w:i/>
          <w:iCs/>
          <w:sz w:val="24"/>
          <w:szCs w:val="24"/>
        </w:rPr>
      </w:pPr>
      <w:r w:rsidRPr="009B3B88">
        <w:rPr>
          <w:rFonts w:ascii="Times New Roman" w:hAnsi="Times New Roman" w:cs="Times New Roman"/>
          <w:b/>
          <w:bCs/>
          <w:i/>
          <w:iCs/>
          <w:sz w:val="24"/>
          <w:szCs w:val="24"/>
          <w:lang w:val="sq-AL"/>
        </w:rPr>
        <w:sym w:font="Symbol" w:char="F0AE"/>
      </w:r>
      <w:r w:rsidRPr="009B3B88">
        <w:rPr>
          <w:rFonts w:ascii="Times New Roman" w:hAnsi="Times New Roman" w:cs="Times New Roman"/>
          <w:b/>
          <w:bCs/>
          <w:i/>
          <w:iCs/>
          <w:sz w:val="24"/>
          <w:szCs w:val="24"/>
          <w:lang w:val="sq-AL"/>
        </w:rPr>
        <w:t xml:space="preserve"> të zbatojë në mënyrë efektive dispozitat për rekrutimin e bazuar në merita në ligjin e shërbimit civil në të gjitha nivelet, veçanërisht për pozitat e nivelit të lartë; të reformojë sistemin e pagave për nëpunësit civilë dhe të zgjerojë më tej automatizimin e sistemit të pagave.</w:t>
      </w:r>
    </w:p>
    <w:p w:rsidR="00C144D3" w:rsidRPr="007922E5" w:rsidRDefault="00C144D3" w:rsidP="00E31BC3">
      <w:pPr>
        <w:jc w:val="both"/>
        <w:rPr>
          <w:rFonts w:ascii="Times New Roman" w:hAnsi="Times New Roman" w:cs="Times New Roman"/>
          <w:sz w:val="24"/>
          <w:szCs w:val="24"/>
          <w:u w:val="single"/>
          <w:lang w:val="sq-AL"/>
        </w:rPr>
      </w:pPr>
      <w:r w:rsidRPr="007922E5">
        <w:rPr>
          <w:rFonts w:ascii="Times New Roman" w:hAnsi="Times New Roman" w:cs="Times New Roman"/>
          <w:sz w:val="24"/>
          <w:szCs w:val="24"/>
          <w:u w:val="single"/>
          <w:lang w:val="sq-AL"/>
        </w:rPr>
        <w:t>Kuadri strategjik për reformën e administratës publike</w:t>
      </w:r>
    </w:p>
    <w:p w:rsidR="00C144D3" w:rsidRPr="00485F93"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Gjatë gjithë vitit 2021, qeveria vazhdoi të monitorojë zbatimin e strate</w:t>
      </w:r>
      <w:r w:rsidRPr="007922E5">
        <w:rPr>
          <w:rFonts w:ascii="Times New Roman" w:hAnsi="Times New Roman" w:cs="Times New Roman"/>
          <w:bCs/>
          <w:sz w:val="24"/>
          <w:szCs w:val="24"/>
          <w:lang w:val="sq-AL"/>
        </w:rPr>
        <w:t>gjisë së reformës së administratës publike</w:t>
      </w:r>
      <w:r w:rsidRPr="007922E5">
        <w:rPr>
          <w:rFonts w:ascii="Times New Roman" w:hAnsi="Times New Roman" w:cs="Times New Roman"/>
          <w:sz w:val="24"/>
          <w:szCs w:val="24"/>
          <w:lang w:val="sq-AL"/>
        </w:rPr>
        <w:t xml:space="preserve"> 2015-2022 dhe të stra</w:t>
      </w:r>
      <w:r w:rsidRPr="007922E5">
        <w:rPr>
          <w:rFonts w:ascii="Times New Roman" w:hAnsi="Times New Roman" w:cs="Times New Roman"/>
          <w:bCs/>
          <w:sz w:val="24"/>
          <w:szCs w:val="24"/>
          <w:lang w:val="sq-AL"/>
        </w:rPr>
        <w:t xml:space="preserve">tegjisë së reformës së menaxhimit të financave publike </w:t>
      </w:r>
      <w:r w:rsidRPr="007922E5">
        <w:rPr>
          <w:rFonts w:ascii="Times New Roman" w:hAnsi="Times New Roman" w:cs="Times New Roman"/>
          <w:sz w:val="24"/>
          <w:szCs w:val="24"/>
          <w:lang w:val="sq-AL"/>
        </w:rPr>
        <w:t xml:space="preserve">2014-2022. Pavarësisht krizës së COVID-19, institucionet shqiptare bënë përpjekje të konsiderueshme për të ruajtur një zbatim të mirë të strategjisë së reformës së administratës publike. Është arritur progres në monitorimin e orientuar drejt rezultateve, duke përfshirë analizën e performancës. </w:t>
      </w:r>
      <w:r w:rsidRPr="00485F93">
        <w:rPr>
          <w:rFonts w:ascii="Times New Roman" w:hAnsi="Times New Roman" w:cs="Times New Roman"/>
          <w:b/>
          <w:bCs/>
          <w:i/>
          <w:iCs/>
          <w:sz w:val="24"/>
          <w:szCs w:val="24"/>
          <w:lang w:val="sq-AL"/>
        </w:rPr>
        <w:t>Megjithatë, zbatimi i reformave të administratës publike kërkon një drejtim të vazhdueshëm politik. Qëndrueshmëria financiare duhet të përmirësohet përmes rishikimit më të mirë të burimeve të përgjithshme financiare, pasi aktualisht zbatimi i reformës varet shumë nga financimi nga donatorët e jashtëm.</w:t>
      </w:r>
    </w:p>
    <w:p w:rsidR="00C144D3" w:rsidRPr="00485F93" w:rsidRDefault="00C144D3" w:rsidP="00E31BC3">
      <w:pPr>
        <w:jc w:val="both"/>
        <w:rPr>
          <w:rFonts w:ascii="Times New Roman" w:hAnsi="Times New Roman" w:cs="Times New Roman"/>
          <w:b/>
          <w:bCs/>
          <w:sz w:val="24"/>
          <w:szCs w:val="24"/>
          <w:u w:val="single"/>
          <w:lang w:val="sq-AL"/>
        </w:rPr>
      </w:pPr>
      <w:r w:rsidRPr="00485F93">
        <w:rPr>
          <w:rFonts w:ascii="Times New Roman" w:hAnsi="Times New Roman" w:cs="Times New Roman"/>
          <w:b/>
          <w:bCs/>
          <w:sz w:val="24"/>
          <w:szCs w:val="24"/>
          <w:u w:val="single"/>
          <w:lang w:val="sq-AL"/>
        </w:rPr>
        <w:t>Zhvillimi dhe koordinimi i politikave</w:t>
      </w:r>
    </w:p>
    <w:p w:rsidR="00C144D3" w:rsidRPr="00485F93"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Baza ligjore dhe struktura institucionale për një </w:t>
      </w:r>
      <w:r w:rsidRPr="007922E5">
        <w:rPr>
          <w:rFonts w:ascii="Times New Roman" w:hAnsi="Times New Roman" w:cs="Times New Roman"/>
          <w:bCs/>
          <w:sz w:val="24"/>
          <w:szCs w:val="24"/>
          <w:lang w:val="sq-AL"/>
        </w:rPr>
        <w:t xml:space="preserve">sistem koherent të </w:t>
      </w:r>
      <w:r w:rsidRPr="00485F93">
        <w:rPr>
          <w:rFonts w:ascii="Times New Roman" w:hAnsi="Times New Roman" w:cs="Times New Roman"/>
          <w:bCs/>
          <w:i/>
          <w:iCs/>
          <w:sz w:val="24"/>
          <w:szCs w:val="24"/>
          <w:lang w:val="sq-AL"/>
        </w:rPr>
        <w:t>politikëbërjes</w:t>
      </w:r>
      <w:r w:rsidRPr="00485F93">
        <w:rPr>
          <w:rFonts w:ascii="Times New Roman" w:hAnsi="Times New Roman" w:cs="Times New Roman"/>
          <w:i/>
          <w:iCs/>
          <w:sz w:val="24"/>
          <w:szCs w:val="24"/>
          <w:lang w:val="sq-AL"/>
        </w:rPr>
        <w:t xml:space="preserve"> janë pjesërisht të konsoliduara.</w:t>
      </w:r>
      <w:r w:rsidRPr="007922E5">
        <w:rPr>
          <w:rFonts w:ascii="Times New Roman" w:hAnsi="Times New Roman" w:cs="Times New Roman"/>
          <w:sz w:val="24"/>
          <w:szCs w:val="24"/>
          <w:lang w:val="sq-AL"/>
        </w:rPr>
        <w:t xml:space="preserve"> Cilësia e performancës dhe rregullsia e mekanizmave të grupeve të menaxhimit të politikave të integruara ndryshojnë në varësi te sektorit. </w:t>
      </w:r>
      <w:r w:rsidRPr="00485F93">
        <w:rPr>
          <w:rFonts w:ascii="Times New Roman" w:hAnsi="Times New Roman" w:cs="Times New Roman"/>
          <w:b/>
          <w:bCs/>
          <w:i/>
          <w:iCs/>
          <w:sz w:val="24"/>
          <w:szCs w:val="24"/>
          <w:lang w:val="sq-AL"/>
        </w:rPr>
        <w:t xml:space="preserve">Shqipëria duhet të forcojë përpjekjet e saj për të përmirësuar hartimin e politikave të bazuara në </w:t>
      </w:r>
      <w:r w:rsidR="00485F93">
        <w:rPr>
          <w:rFonts w:ascii="Times New Roman" w:hAnsi="Times New Roman" w:cs="Times New Roman"/>
          <w:b/>
          <w:bCs/>
          <w:i/>
          <w:iCs/>
          <w:sz w:val="24"/>
          <w:szCs w:val="24"/>
          <w:lang w:val="sq-AL"/>
        </w:rPr>
        <w:t>te dhena</w:t>
      </w:r>
      <w:r w:rsidRPr="00485F93">
        <w:rPr>
          <w:rFonts w:ascii="Times New Roman" w:hAnsi="Times New Roman" w:cs="Times New Roman"/>
          <w:b/>
          <w:bCs/>
          <w:i/>
          <w:iCs/>
          <w:sz w:val="24"/>
          <w:szCs w:val="24"/>
          <w:lang w:val="sq-AL"/>
        </w:rPr>
        <w:t xml:space="preserve"> duke rritur kapacitetet administrative të ministrive të linjës në planifikimin e politikave, monitorimin dhe mbledhjen e të dhënave. Të tre shtyllat e sistemit të planifikimit të integruar duhet të bëhen plotësisht funksionale dhe duhet të vazhdojë trajnimi për nëpunësit civilë, veçanërisht për cilësinë dhe treguesit e të dhënave.</w:t>
      </w:r>
    </w:p>
    <w:p w:rsidR="00C144D3" w:rsidRPr="00485F93"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lang w:val="sq-AL"/>
        </w:rPr>
        <w:t xml:space="preserve">Strategjia Kombëtare për Zhvillim dhe Integrim, e cila është dokumenti kryesor referues për sistemin e planifikimit, ka skaduar në vitin 2020. </w:t>
      </w:r>
      <w:r w:rsidRPr="00485F93">
        <w:rPr>
          <w:rFonts w:ascii="Times New Roman" w:hAnsi="Times New Roman" w:cs="Times New Roman"/>
          <w:b/>
          <w:bCs/>
          <w:i/>
          <w:iCs/>
          <w:sz w:val="24"/>
          <w:szCs w:val="24"/>
          <w:lang w:val="sq-AL"/>
        </w:rPr>
        <w:t xml:space="preserve">Strategjia e re, që mbulon periudhën deri në vitin 2028, duhet të hartohet dhe miratohet. Autoritetet duhet të përmirësojnë koherencën ndërmjet planifikimit të politikave dhe buxhetimit duke përdorur plotësisht Sistemin e Informacionit të Sistemit të Planifikimit të Integruar. </w:t>
      </w:r>
      <w:r w:rsidRPr="00485F93">
        <w:rPr>
          <w:rFonts w:ascii="Times New Roman" w:hAnsi="Times New Roman" w:cs="Times New Roman"/>
          <w:sz w:val="24"/>
          <w:szCs w:val="24"/>
          <w:lang w:val="sq-AL"/>
        </w:rPr>
        <w:t xml:space="preserve">Agjencia shtetërore e sapokrijuar për Programimin Strategjik dhe Koordinimin e Ndihmës ka mandatin e përmirësimit të koordinimin. </w:t>
      </w:r>
      <w:r w:rsidRPr="00485F93">
        <w:rPr>
          <w:rFonts w:ascii="Times New Roman" w:hAnsi="Times New Roman" w:cs="Times New Roman"/>
          <w:b/>
          <w:bCs/>
          <w:i/>
          <w:iCs/>
          <w:sz w:val="24"/>
          <w:szCs w:val="24"/>
          <w:lang w:val="sq-AL"/>
        </w:rPr>
        <w:t xml:space="preserve">Megjithatë, rolet dhe përgjegjësitë e Agjencisë dhe Departamentit për Politika dhe </w:t>
      </w:r>
      <w:r w:rsidR="00485F93" w:rsidRPr="00485F93">
        <w:rPr>
          <w:rFonts w:ascii="Times New Roman" w:hAnsi="Times New Roman" w:cs="Times New Roman"/>
          <w:b/>
          <w:bCs/>
          <w:i/>
          <w:iCs/>
          <w:sz w:val="24"/>
          <w:szCs w:val="24"/>
          <w:lang w:val="sq-AL"/>
        </w:rPr>
        <w:t>Mirëq</w:t>
      </w:r>
      <w:r w:rsidRPr="00485F93">
        <w:rPr>
          <w:rFonts w:ascii="Times New Roman" w:hAnsi="Times New Roman" w:cs="Times New Roman"/>
          <w:b/>
          <w:bCs/>
          <w:i/>
          <w:iCs/>
          <w:sz w:val="24"/>
          <w:szCs w:val="24"/>
          <w:lang w:val="sq-AL"/>
        </w:rPr>
        <w:t>everisje</w:t>
      </w:r>
      <w:r w:rsidR="00485F93" w:rsidRPr="00485F93">
        <w:rPr>
          <w:rFonts w:ascii="Times New Roman" w:hAnsi="Times New Roman" w:cs="Times New Roman"/>
          <w:b/>
          <w:bCs/>
          <w:i/>
          <w:iCs/>
          <w:sz w:val="24"/>
          <w:szCs w:val="24"/>
          <w:lang w:val="sq-AL"/>
        </w:rPr>
        <w:t xml:space="preserve"> s</w:t>
      </w:r>
      <w:r w:rsidRPr="00485F93">
        <w:rPr>
          <w:rFonts w:ascii="Times New Roman" w:hAnsi="Times New Roman" w:cs="Times New Roman"/>
          <w:b/>
          <w:bCs/>
          <w:i/>
          <w:iCs/>
          <w:sz w:val="24"/>
          <w:szCs w:val="24"/>
          <w:lang w:val="sq-AL"/>
        </w:rPr>
        <w:t>ë Zyrës së Kryeministrit duhet të qartësohen.</w:t>
      </w:r>
    </w:p>
    <w:p w:rsidR="00C144D3" w:rsidRPr="006A5495" w:rsidRDefault="00C144D3" w:rsidP="00E31BC3">
      <w:pPr>
        <w:jc w:val="both"/>
        <w:rPr>
          <w:rFonts w:ascii="Times New Roman" w:hAnsi="Times New Roman" w:cs="Times New Roman"/>
          <w:b/>
          <w:bCs/>
          <w:i/>
          <w:iCs/>
          <w:sz w:val="24"/>
          <w:szCs w:val="24"/>
          <w:lang w:val="sq-AL"/>
        </w:rPr>
      </w:pPr>
      <w:r w:rsidRPr="006A5495">
        <w:rPr>
          <w:rFonts w:ascii="Times New Roman" w:hAnsi="Times New Roman" w:cs="Times New Roman"/>
          <w:b/>
          <w:bCs/>
          <w:i/>
          <w:iCs/>
          <w:sz w:val="24"/>
          <w:szCs w:val="24"/>
          <w:lang w:val="sq-AL"/>
        </w:rPr>
        <w:t>Nevojiten përpjekje të mëtejshme për të përmirësuar kapacitetin administrativ të ministrive të linjës dhe të Zyrës së Kryeministrit</w:t>
      </w:r>
      <w:r w:rsidRPr="007922E5">
        <w:rPr>
          <w:rFonts w:ascii="Times New Roman" w:hAnsi="Times New Roman" w:cs="Times New Roman"/>
          <w:sz w:val="24"/>
          <w:szCs w:val="24"/>
          <w:lang w:val="sq-AL"/>
        </w:rPr>
        <w:t xml:space="preserve">. (Shih Kapitullin 32 - Kontrolli financiar). </w:t>
      </w:r>
      <w:r w:rsidRPr="006A5495">
        <w:rPr>
          <w:rFonts w:ascii="Times New Roman" w:hAnsi="Times New Roman" w:cs="Times New Roman"/>
          <w:b/>
          <w:bCs/>
          <w:i/>
          <w:iCs/>
          <w:sz w:val="24"/>
          <w:szCs w:val="24"/>
          <w:lang w:val="sq-AL"/>
        </w:rPr>
        <w:t>Rregullorja e Zyrës së Kryeministrit ende duhet të miratohet.</w:t>
      </w:r>
    </w:p>
    <w:p w:rsidR="00C144D3" w:rsidRPr="006A5495" w:rsidRDefault="00C144D3" w:rsidP="00E31BC3">
      <w:pPr>
        <w:jc w:val="both"/>
        <w:rPr>
          <w:rFonts w:ascii="Times New Roman" w:hAnsi="Times New Roman" w:cs="Times New Roman"/>
          <w:b/>
          <w:bCs/>
          <w:i/>
          <w:iCs/>
          <w:sz w:val="24"/>
          <w:szCs w:val="24"/>
          <w:lang w:val="sq-AL"/>
        </w:rPr>
      </w:pPr>
      <w:r w:rsidRPr="006A5495">
        <w:rPr>
          <w:rFonts w:ascii="Times New Roman" w:hAnsi="Times New Roman" w:cs="Times New Roman"/>
          <w:b/>
          <w:bCs/>
          <w:i/>
          <w:iCs/>
          <w:sz w:val="24"/>
          <w:szCs w:val="24"/>
          <w:lang w:val="sq-AL"/>
        </w:rPr>
        <w:lastRenderedPageBreak/>
        <w:t>Administrata duhet të forcojë më tej kapacitetet e saj në zhvillimin e politikave dhe legjislative gjithëpërfshirëse dhe të bazuara në fakte</w:t>
      </w:r>
      <w:r w:rsidRPr="007922E5">
        <w:rPr>
          <w:rFonts w:ascii="Times New Roman" w:hAnsi="Times New Roman" w:cs="Times New Roman"/>
          <w:sz w:val="24"/>
          <w:szCs w:val="24"/>
          <w:lang w:val="sq-AL"/>
        </w:rPr>
        <w:t xml:space="preserve">. Është arritur progres në rritjen e përdorimit dhe cilësisë së vlerësimeve të ndikimit rregullator për propozimet legjislative dhe trajnimet për këto çështje janë mbajtur në të gjithë administratën. </w:t>
      </w:r>
      <w:r w:rsidRPr="006A5495">
        <w:rPr>
          <w:rFonts w:ascii="Times New Roman" w:hAnsi="Times New Roman" w:cs="Times New Roman"/>
          <w:b/>
          <w:bCs/>
          <w:i/>
          <w:iCs/>
          <w:sz w:val="24"/>
          <w:szCs w:val="24"/>
          <w:lang w:val="sq-AL"/>
        </w:rPr>
        <w:t>Qeveria duhet të vazhdojë përpjekjet e saj për të përmirësuar vlerësimet e ndikimit rregullator.</w:t>
      </w:r>
    </w:p>
    <w:p w:rsidR="00C144D3" w:rsidRPr="006A5495"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Në </w:t>
      </w:r>
      <w:r w:rsidRPr="007922E5">
        <w:rPr>
          <w:rFonts w:ascii="Times New Roman" w:hAnsi="Times New Roman" w:cs="Times New Roman"/>
          <w:bCs/>
          <w:sz w:val="24"/>
          <w:szCs w:val="24"/>
          <w:lang w:val="sq-AL"/>
        </w:rPr>
        <w:t>konsultim publik</w:t>
      </w:r>
      <w:r w:rsidRPr="007922E5">
        <w:rPr>
          <w:rFonts w:ascii="Times New Roman" w:hAnsi="Times New Roman" w:cs="Times New Roman"/>
          <w:sz w:val="24"/>
          <w:szCs w:val="24"/>
          <w:lang w:val="sq-AL"/>
        </w:rPr>
        <w:t xml:space="preserve">, </w:t>
      </w:r>
      <w:r w:rsidR="006A5495">
        <w:rPr>
          <w:rFonts w:ascii="Times New Roman" w:hAnsi="Times New Roman" w:cs="Times New Roman"/>
          <w:sz w:val="24"/>
          <w:szCs w:val="24"/>
          <w:lang w:val="sq-AL"/>
        </w:rPr>
        <w:t>w</w:t>
      </w:r>
      <w:r w:rsidRPr="007922E5">
        <w:rPr>
          <w:rFonts w:ascii="Times New Roman" w:hAnsi="Times New Roman" w:cs="Times New Roman"/>
          <w:sz w:val="24"/>
          <w:szCs w:val="24"/>
          <w:lang w:val="sq-AL"/>
        </w:rPr>
        <w:t xml:space="preserve">eb-portali elektronik është funksional dhe kuadri rregullator është përmirësuar. Përdorimi i regjistrit elektronik ka vazhduar, </w:t>
      </w:r>
      <w:r w:rsidRPr="006A5495">
        <w:rPr>
          <w:rFonts w:ascii="Times New Roman" w:hAnsi="Times New Roman" w:cs="Times New Roman"/>
          <w:b/>
          <w:bCs/>
          <w:i/>
          <w:iCs/>
          <w:sz w:val="24"/>
          <w:szCs w:val="24"/>
          <w:lang w:val="sq-AL"/>
        </w:rPr>
        <w:t>por pesha e akteve ligjore që i nënshtrohen konsultimit publik dhe përdorimit të regjistrit elektronik ka rënë në vitin 2021 në 65.8% nga 79.6% një vit më parë. Kontrolli i cilësisë së konsultimeve publike duhet të forcohet për t'u fokusuar në përmbajtje dhe jo në proces.</w:t>
      </w:r>
    </w:p>
    <w:p w:rsidR="00C144D3" w:rsidRPr="007922E5" w:rsidRDefault="00C144D3" w:rsidP="00E31BC3">
      <w:pPr>
        <w:jc w:val="both"/>
        <w:rPr>
          <w:rFonts w:ascii="Times New Roman" w:hAnsi="Times New Roman" w:cs="Times New Roman"/>
          <w:sz w:val="24"/>
          <w:szCs w:val="24"/>
        </w:rPr>
      </w:pPr>
      <w:r w:rsidRPr="006A5495">
        <w:rPr>
          <w:rFonts w:ascii="Times New Roman" w:hAnsi="Times New Roman" w:cs="Times New Roman"/>
          <w:b/>
          <w:i/>
          <w:iCs/>
          <w:sz w:val="24"/>
          <w:szCs w:val="24"/>
          <w:lang w:val="sq-AL"/>
        </w:rPr>
        <w:t>Kontrolli publik i punës së qeverisë duhet të përmirësohet më tej. Mbikëqyrja parlamentare e performancës së qeverisë, duke përfshirë agjencitë e varura, duhet të forcohet.</w:t>
      </w:r>
      <w:r w:rsidRPr="007922E5">
        <w:rPr>
          <w:rFonts w:ascii="Times New Roman" w:hAnsi="Times New Roman" w:cs="Times New Roman"/>
          <w:sz w:val="24"/>
          <w:szCs w:val="24"/>
          <w:lang w:val="sq-AL"/>
        </w:rPr>
        <w:t xml:space="preserve"> </w:t>
      </w:r>
      <w:r w:rsidRPr="006A5495">
        <w:rPr>
          <w:rFonts w:ascii="Times New Roman" w:hAnsi="Times New Roman" w:cs="Times New Roman"/>
          <w:b/>
          <w:bCs/>
          <w:i/>
          <w:iCs/>
          <w:sz w:val="24"/>
          <w:szCs w:val="24"/>
          <w:lang w:val="sq-AL"/>
        </w:rPr>
        <w:t>Monitorimi rregullator dhe institucional dhe korniza raportuese për performancën e qeverisë vazhdojnë të jenë të fragmentuara. Komunikimi me qytetarët për përpjekjet e vazhdueshme për reforma duhet të përmirësohet.</w:t>
      </w:r>
      <w:r w:rsidRPr="007922E5">
        <w:rPr>
          <w:rFonts w:ascii="Times New Roman" w:hAnsi="Times New Roman" w:cs="Times New Roman"/>
          <w:sz w:val="24"/>
          <w:szCs w:val="24"/>
          <w:lang w:val="sq-AL"/>
        </w:rPr>
        <w:t xml:space="preserve"> Harmonizimi i praktikës së raportimit kërkon që Sistemi i Informacionit të Sistemit të Integruar të Planifikimit të jetë i shtrirë plotësisht.</w:t>
      </w:r>
    </w:p>
    <w:p w:rsidR="00C144D3" w:rsidRPr="007922E5" w:rsidRDefault="00C144D3" w:rsidP="00E31BC3">
      <w:pPr>
        <w:jc w:val="both"/>
        <w:rPr>
          <w:rFonts w:ascii="Times New Roman" w:hAnsi="Times New Roman" w:cs="Times New Roman"/>
          <w:sz w:val="24"/>
          <w:szCs w:val="24"/>
          <w:u w:val="single"/>
          <w:lang w:val="sq-AL"/>
        </w:rPr>
      </w:pPr>
      <w:r w:rsidRPr="007922E5">
        <w:rPr>
          <w:rFonts w:ascii="Times New Roman" w:hAnsi="Times New Roman" w:cs="Times New Roman"/>
          <w:sz w:val="24"/>
          <w:szCs w:val="24"/>
          <w:u w:val="single"/>
          <w:lang w:val="sq-AL"/>
        </w:rPr>
        <w:t>Menaxhimi i financave publike</w:t>
      </w:r>
    </w:p>
    <w:p w:rsidR="00C144D3" w:rsidRPr="00664758"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Ministria e Financave dhe Ekonomisë është përgjegjëse për refor</w:t>
      </w:r>
      <w:r w:rsidRPr="007922E5">
        <w:rPr>
          <w:rFonts w:ascii="Times New Roman" w:hAnsi="Times New Roman" w:cs="Times New Roman"/>
          <w:bCs/>
          <w:sz w:val="24"/>
          <w:szCs w:val="24"/>
          <w:lang w:val="sq-AL"/>
        </w:rPr>
        <w:t>mën e menaxhimit të financave publike</w:t>
      </w:r>
      <w:r w:rsidRPr="007922E5">
        <w:rPr>
          <w:rFonts w:ascii="Times New Roman" w:hAnsi="Times New Roman" w:cs="Times New Roman"/>
          <w:sz w:val="24"/>
          <w:szCs w:val="24"/>
          <w:lang w:val="sq-AL"/>
        </w:rPr>
        <w:t xml:space="preserve">. </w:t>
      </w:r>
      <w:r w:rsidRPr="00B12060">
        <w:rPr>
          <w:rFonts w:ascii="Times New Roman" w:hAnsi="Times New Roman" w:cs="Times New Roman"/>
          <w:b/>
          <w:bCs/>
          <w:i/>
          <w:iCs/>
          <w:sz w:val="24"/>
          <w:szCs w:val="24"/>
          <w:lang w:val="sq-AL"/>
        </w:rPr>
        <w:t xml:space="preserve">Disa </w:t>
      </w:r>
      <w:r w:rsidR="00B12060" w:rsidRPr="00B12060">
        <w:rPr>
          <w:rFonts w:ascii="Times New Roman" w:hAnsi="Times New Roman" w:cs="Times New Roman"/>
          <w:b/>
          <w:bCs/>
          <w:i/>
          <w:iCs/>
          <w:sz w:val="24"/>
          <w:szCs w:val="24"/>
          <w:lang w:val="sq-AL"/>
        </w:rPr>
        <w:t>pozicione</w:t>
      </w:r>
      <w:r w:rsidRPr="00B12060">
        <w:rPr>
          <w:rFonts w:ascii="Times New Roman" w:hAnsi="Times New Roman" w:cs="Times New Roman"/>
          <w:b/>
          <w:bCs/>
          <w:i/>
          <w:iCs/>
          <w:sz w:val="24"/>
          <w:szCs w:val="24"/>
          <w:lang w:val="sq-AL"/>
        </w:rPr>
        <w:t xml:space="preserve">, duke përfshirë edhe nivelin menaxherial, mbeten të paplotësuara në Ministri. </w:t>
      </w:r>
      <w:r w:rsidRPr="007922E5">
        <w:rPr>
          <w:rFonts w:ascii="Times New Roman" w:hAnsi="Times New Roman" w:cs="Times New Roman"/>
          <w:sz w:val="24"/>
          <w:szCs w:val="24"/>
          <w:lang w:val="sq-AL"/>
        </w:rPr>
        <w:t xml:space="preserve">Strategjia e menaxhimit të financave publike 2019-2022 po skadon dhe qeveria duhet të hartojë dhe miratojë një program të ri. </w:t>
      </w:r>
      <w:r w:rsidRPr="00664758">
        <w:rPr>
          <w:rFonts w:ascii="Times New Roman" w:hAnsi="Times New Roman" w:cs="Times New Roman"/>
          <w:b/>
          <w:bCs/>
          <w:i/>
          <w:iCs/>
          <w:sz w:val="24"/>
          <w:szCs w:val="24"/>
          <w:lang w:val="sq-AL"/>
        </w:rPr>
        <w:t>Programi i ri i reformës duhet të zhvillohet pas një analize të detajuar të zbatimit të strategjisë aktuale dhe pas kryerjes së konsultimeve të gjera publike. Finalizimi dhe publikimi i raportit të vitit 2021 për raportin e monitorimit të menaxhimit të financave publike u vonua.</w:t>
      </w:r>
    </w:p>
    <w:p w:rsidR="00C144D3" w:rsidRPr="008E3B58" w:rsidRDefault="00C144D3" w:rsidP="00E31BC3">
      <w:pPr>
        <w:jc w:val="both"/>
        <w:rPr>
          <w:rFonts w:ascii="Times New Roman" w:hAnsi="Times New Roman" w:cs="Times New Roman"/>
          <w:i/>
          <w:iCs/>
          <w:sz w:val="24"/>
          <w:szCs w:val="24"/>
          <w:lang w:val="sq-AL"/>
        </w:rPr>
      </w:pPr>
      <w:r w:rsidRPr="007922E5">
        <w:rPr>
          <w:rFonts w:ascii="Times New Roman" w:hAnsi="Times New Roman" w:cs="Times New Roman"/>
          <w:sz w:val="24"/>
          <w:szCs w:val="24"/>
          <w:lang w:val="sq-AL"/>
        </w:rPr>
        <w:t xml:space="preserve">Gjatë periudhës raportuese, u miratua programi buxhetor afatmesëm 2022-2024, bazuar në sistemin e informacionit të menaxhimit financiar shqiptar të zhvilluar rishtazi. Buxheti i vitit 2022 dhe ekzekutimi i buxhetit të vitit 2021 ishin në përputhje me ligjin e rishikuar të buxhetit organik. Integrimi i sistemit të prokurimit elektronik dhe thesarit ka bërë përparim në përmirësimin e kontrolleve të zotimeve. Konsultimet për strategjinë afatmesme të të ardhurave u nisën në janar 2022, </w:t>
      </w:r>
      <w:r w:rsidRPr="008E3B58">
        <w:rPr>
          <w:rFonts w:ascii="Times New Roman" w:hAnsi="Times New Roman" w:cs="Times New Roman"/>
          <w:i/>
          <w:iCs/>
          <w:sz w:val="24"/>
          <w:szCs w:val="24"/>
          <w:lang w:val="sq-AL"/>
        </w:rPr>
        <w:t>por versioni përfundimtar nuk është prodhuar ende.</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bCs/>
          <w:sz w:val="24"/>
          <w:szCs w:val="24"/>
          <w:lang w:val="sq-AL"/>
        </w:rPr>
        <w:t>Transparenca buxhetore</w:t>
      </w:r>
      <w:r w:rsidRPr="007922E5">
        <w:rPr>
          <w:rFonts w:ascii="Times New Roman" w:hAnsi="Times New Roman" w:cs="Times New Roman"/>
          <w:sz w:val="24"/>
          <w:szCs w:val="24"/>
          <w:lang w:val="sq-AL"/>
        </w:rPr>
        <w:t xml:space="preserve"> mbetet e kënaqshme me publikimin e të gjitha dokumenteve kyçe buxhetore, gjë që mundëson debat të mjaftueshëm publik. </w:t>
      </w:r>
      <w:r w:rsidRPr="008E3B58">
        <w:rPr>
          <w:rFonts w:ascii="Times New Roman" w:hAnsi="Times New Roman" w:cs="Times New Roman"/>
          <w:b/>
          <w:bCs/>
          <w:i/>
          <w:iCs/>
          <w:sz w:val="24"/>
          <w:szCs w:val="24"/>
          <w:lang w:val="sq-AL"/>
        </w:rPr>
        <w:t xml:space="preserve">Nevojitet një publikim më </w:t>
      </w:r>
      <w:r w:rsidR="008E3B58">
        <w:rPr>
          <w:rFonts w:ascii="Times New Roman" w:hAnsi="Times New Roman" w:cs="Times New Roman"/>
          <w:b/>
          <w:bCs/>
          <w:i/>
          <w:iCs/>
          <w:sz w:val="24"/>
          <w:szCs w:val="24"/>
          <w:lang w:val="sq-AL"/>
        </w:rPr>
        <w:t>n</w:t>
      </w:r>
      <w:r w:rsidR="001E4906" w:rsidRPr="008E3B58">
        <w:rPr>
          <w:rFonts w:ascii="Times New Roman" w:hAnsi="Times New Roman" w:cs="Times New Roman"/>
          <w:b/>
          <w:bCs/>
          <w:i/>
          <w:iCs/>
          <w:sz w:val="24"/>
          <w:szCs w:val="24"/>
          <w:lang w:val="sq-AL"/>
        </w:rPr>
        <w:t>ë</w:t>
      </w:r>
      <w:r w:rsidRPr="008E3B58">
        <w:rPr>
          <w:rFonts w:ascii="Times New Roman" w:hAnsi="Times New Roman" w:cs="Times New Roman"/>
          <w:b/>
          <w:bCs/>
          <w:i/>
          <w:iCs/>
          <w:sz w:val="24"/>
          <w:szCs w:val="24"/>
          <w:lang w:val="sq-AL"/>
        </w:rPr>
        <w:t xml:space="preserve"> kohë i raporteve të ekzekutimit të buxhetit dhe i raportit të auditimit, në veçanti raportimi i detyrimeve të prapambetura.</w:t>
      </w:r>
      <w:r w:rsidRPr="007922E5">
        <w:rPr>
          <w:rFonts w:ascii="Times New Roman" w:hAnsi="Times New Roman" w:cs="Times New Roman"/>
          <w:sz w:val="24"/>
          <w:szCs w:val="24"/>
          <w:lang w:val="sq-AL"/>
        </w:rPr>
        <w:t xml:space="preserve"> Shqipëria forcoi më tej kapacitetin e saj për buxhetim të përgjegjshëm gjinor, bazuar në një detyrim ligjor për këtë qëllim në ciklin e menaxhimit të financave të qeverisë qendrore dhe vendore.</w:t>
      </w:r>
    </w:p>
    <w:p w:rsidR="00C144D3" w:rsidRPr="007922E5" w:rsidRDefault="00C144D3" w:rsidP="00E31BC3">
      <w:pPr>
        <w:jc w:val="both"/>
        <w:rPr>
          <w:rFonts w:ascii="Times New Roman" w:hAnsi="Times New Roman" w:cs="Times New Roman"/>
          <w:sz w:val="24"/>
          <w:szCs w:val="24"/>
          <w:u w:val="single"/>
          <w:lang w:val="sq-AL"/>
        </w:rPr>
      </w:pPr>
      <w:r w:rsidRPr="007922E5">
        <w:rPr>
          <w:rFonts w:ascii="Times New Roman" w:hAnsi="Times New Roman" w:cs="Times New Roman"/>
          <w:sz w:val="24"/>
          <w:szCs w:val="24"/>
          <w:u w:val="single"/>
          <w:lang w:val="sq-AL"/>
        </w:rPr>
        <w:t>Shërbimi publik dhe menaxhimi i burimeve njerëzore</w:t>
      </w:r>
    </w:p>
    <w:p w:rsidR="00C144D3" w:rsidRPr="001E4906" w:rsidRDefault="00C144D3" w:rsidP="00E31BC3">
      <w:pPr>
        <w:jc w:val="both"/>
        <w:rPr>
          <w:rFonts w:ascii="Times New Roman" w:hAnsi="Times New Roman" w:cs="Times New Roman"/>
          <w:b/>
          <w:bCs/>
          <w:i/>
          <w:iCs/>
          <w:sz w:val="24"/>
          <w:szCs w:val="24"/>
          <w:lang w:val="sq-AL"/>
        </w:rPr>
      </w:pPr>
      <w:r w:rsidRPr="001E4906">
        <w:rPr>
          <w:rFonts w:ascii="Times New Roman" w:hAnsi="Times New Roman" w:cs="Times New Roman"/>
          <w:b/>
          <w:bCs/>
          <w:i/>
          <w:iCs/>
          <w:sz w:val="24"/>
          <w:szCs w:val="24"/>
          <w:lang w:val="sq-AL"/>
        </w:rPr>
        <w:t>Progresi në rekrutimin, promovimin dhe shkarkimin e bazuar në merita duhet të konsolidohet duke zbatuar standarde të qëndrueshme në të gjithë administratën publike.</w:t>
      </w:r>
    </w:p>
    <w:p w:rsidR="00C144D3" w:rsidRPr="001E4906" w:rsidRDefault="00C144D3" w:rsidP="00E31BC3">
      <w:pPr>
        <w:jc w:val="both"/>
        <w:rPr>
          <w:rFonts w:ascii="Times New Roman" w:hAnsi="Times New Roman" w:cs="Times New Roman"/>
          <w:b/>
          <w:bCs/>
          <w:i/>
          <w:iCs/>
          <w:sz w:val="24"/>
          <w:szCs w:val="24"/>
          <w:lang w:val="sq-AL"/>
        </w:rPr>
      </w:pPr>
      <w:r w:rsidRPr="001E4906">
        <w:rPr>
          <w:rFonts w:ascii="Times New Roman" w:hAnsi="Times New Roman" w:cs="Times New Roman"/>
          <w:b/>
          <w:bCs/>
          <w:i/>
          <w:iCs/>
          <w:sz w:val="24"/>
          <w:szCs w:val="24"/>
          <w:lang w:val="sq-AL"/>
        </w:rPr>
        <w:lastRenderedPageBreak/>
        <w:t>Nevojitet një pajtueshmëri më e madhe ligjore në procedurat e rekrutimit. Parimi i meritës duhet të respektohet si për pozitat e nivelit të lartë ashtu edhe për ato fillestare. Në të gjithë administratën publike, përshkrimet e vendeve të punës nuk janë ende plotësisht në përputhje me kategoritë e përcaktuara në ligjin për shërbimin civil.</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Në vitin 2021, numri i </w:t>
      </w:r>
      <w:r w:rsidRPr="007922E5">
        <w:rPr>
          <w:rFonts w:ascii="Times New Roman" w:hAnsi="Times New Roman" w:cs="Times New Roman"/>
          <w:bCs/>
          <w:sz w:val="24"/>
          <w:szCs w:val="24"/>
          <w:lang w:val="sq-AL"/>
        </w:rPr>
        <w:t>largimeve nga puna</w:t>
      </w:r>
      <w:r w:rsidRPr="007922E5">
        <w:rPr>
          <w:rFonts w:ascii="Times New Roman" w:hAnsi="Times New Roman" w:cs="Times New Roman"/>
          <w:sz w:val="24"/>
          <w:szCs w:val="24"/>
          <w:lang w:val="sq-AL"/>
        </w:rPr>
        <w:t xml:space="preserve"> të nëpunësve civilë u ul në 346 nga 619 në 2020 dhe autoritetet shpjeguan se këto ishin në përputhje me ligjin e shërbimit civil. Diferenca e mbetur në zbatimin e vendimeve gjyqësore, që konfirmojnë shkarkimin e nëpunësve civilë si të paligjshëm është zvogëluar më tej gjatë periudhës raportuese. Është krijuar një sistem për monitorimin dhe ndjekjen e vendimeve gjyqësore të formës së prerë, i cili menaxhohet nga Departamenti i Administratës Publike.</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Sistemi informativ i </w:t>
      </w:r>
      <w:r w:rsidRPr="007922E5">
        <w:rPr>
          <w:rFonts w:ascii="Times New Roman" w:hAnsi="Times New Roman" w:cs="Times New Roman"/>
          <w:bCs/>
          <w:sz w:val="24"/>
          <w:szCs w:val="24"/>
          <w:lang w:val="sq-AL"/>
        </w:rPr>
        <w:t>menaxhimit të burimeve njerëzore</w:t>
      </w:r>
      <w:r w:rsidRPr="007922E5">
        <w:rPr>
          <w:rFonts w:ascii="Times New Roman" w:hAnsi="Times New Roman" w:cs="Times New Roman"/>
          <w:sz w:val="24"/>
          <w:szCs w:val="24"/>
          <w:lang w:val="sq-AL"/>
        </w:rPr>
        <w:t xml:space="preserve"> vazhdon të popullohet me të dhënat e nevojshme, </w:t>
      </w:r>
      <w:r w:rsidRPr="001E4906">
        <w:rPr>
          <w:rFonts w:ascii="Times New Roman" w:hAnsi="Times New Roman" w:cs="Times New Roman"/>
          <w:i/>
          <w:iCs/>
          <w:sz w:val="24"/>
          <w:szCs w:val="24"/>
          <w:lang w:val="sq-AL"/>
        </w:rPr>
        <w:t>edhe pse me ritme të ngadalta.</w:t>
      </w:r>
      <w:r w:rsidRPr="007922E5">
        <w:rPr>
          <w:rFonts w:ascii="Times New Roman" w:hAnsi="Times New Roman" w:cs="Times New Roman"/>
          <w:sz w:val="24"/>
          <w:szCs w:val="24"/>
          <w:lang w:val="sq-AL"/>
        </w:rPr>
        <w:t xml:space="preserve"> </w:t>
      </w:r>
      <w:r w:rsidRPr="001E4906">
        <w:rPr>
          <w:rFonts w:ascii="Times New Roman" w:hAnsi="Times New Roman" w:cs="Times New Roman"/>
          <w:b/>
          <w:bCs/>
          <w:i/>
          <w:iCs/>
          <w:sz w:val="24"/>
          <w:szCs w:val="24"/>
          <w:lang w:val="sq-AL"/>
        </w:rPr>
        <w:t>Ai nuk mbulon ende të gjithë sektorin publik, nuk përfshin të dhëna plotësisht të përditësuara për nëpunësit civilë dhe ende duhet të shtrihet në nivel lokal.</w:t>
      </w:r>
      <w:r w:rsidRPr="007922E5">
        <w:rPr>
          <w:rFonts w:ascii="Times New Roman" w:hAnsi="Times New Roman" w:cs="Times New Roman"/>
          <w:sz w:val="24"/>
          <w:szCs w:val="24"/>
          <w:lang w:val="sq-AL"/>
        </w:rPr>
        <w:t xml:space="preserve"> </w:t>
      </w:r>
      <w:r w:rsidRPr="0073510F">
        <w:rPr>
          <w:rFonts w:ascii="Times New Roman" w:hAnsi="Times New Roman" w:cs="Times New Roman"/>
          <w:b/>
          <w:bCs/>
          <w:i/>
          <w:iCs/>
          <w:sz w:val="24"/>
          <w:szCs w:val="24"/>
          <w:lang w:val="sq-AL"/>
        </w:rPr>
        <w:t>Të dhënat që sistemi përmban për nëpunësit civilë duhet të jenë të përditësuara.</w:t>
      </w:r>
      <w:r w:rsidRPr="007922E5">
        <w:rPr>
          <w:rFonts w:ascii="Times New Roman" w:hAnsi="Times New Roman" w:cs="Times New Roman"/>
          <w:sz w:val="24"/>
          <w:szCs w:val="24"/>
          <w:lang w:val="sq-AL"/>
        </w:rPr>
        <w:t xml:space="preserve"> Qeveria ka arritur të vendosë masa për të krijuar një mekanizëm koordinues ndërmjet nivelit qendror dhe lokal për monitorimin dhe vlerësimin e menaxhimit të burimeve njerëzore.</w:t>
      </w:r>
    </w:p>
    <w:p w:rsidR="00C144D3" w:rsidRPr="0073510F" w:rsidRDefault="00C144D3" w:rsidP="00E31BC3">
      <w:pPr>
        <w:jc w:val="both"/>
        <w:rPr>
          <w:rFonts w:ascii="Times New Roman" w:hAnsi="Times New Roman" w:cs="Times New Roman"/>
          <w:b/>
          <w:i/>
          <w:iCs/>
          <w:sz w:val="24"/>
          <w:szCs w:val="24"/>
          <w:lang w:val="sq-AL"/>
        </w:rPr>
      </w:pPr>
      <w:r w:rsidRPr="0073510F">
        <w:rPr>
          <w:rFonts w:ascii="Times New Roman" w:hAnsi="Times New Roman" w:cs="Times New Roman"/>
          <w:b/>
          <w:i/>
          <w:iCs/>
          <w:sz w:val="24"/>
          <w:szCs w:val="24"/>
          <w:lang w:val="sq-AL"/>
        </w:rPr>
        <w:t>Sistemi i shpërblimit bazohet në një sistem të klasifikimit të vendeve të punës që duhet të rishikohet duke përfshirë një konsultim të gjerë publik. Mungesa e një politike pagash të bazuar në kritere të qarta për shtesat dhe rritjen e pagave dobëson drejtësinë dhe koherencën e sistemit. Automatizimi i sistemit të pagave përmes sistemit të informacionit të menaxhimit të burimeve njerëzore duhet të shtrihet në të gjithë sektorin publik.</w:t>
      </w:r>
    </w:p>
    <w:p w:rsidR="00C144D3" w:rsidRPr="0073510F"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lang w:val="sq-AL"/>
        </w:rPr>
        <w:t xml:space="preserve">Shkolla Shqiptare e Administratës Publike vijoi përshtatjen e programeve të saj të trajnimit për </w:t>
      </w:r>
      <w:r w:rsidRPr="007922E5">
        <w:rPr>
          <w:rFonts w:ascii="Times New Roman" w:hAnsi="Times New Roman" w:cs="Times New Roman"/>
          <w:bCs/>
          <w:sz w:val="24"/>
          <w:szCs w:val="24"/>
          <w:lang w:val="sq-AL"/>
        </w:rPr>
        <w:t>zhvillimin profesional</w:t>
      </w:r>
      <w:r w:rsidRPr="007922E5">
        <w:rPr>
          <w:rFonts w:ascii="Times New Roman" w:hAnsi="Times New Roman" w:cs="Times New Roman"/>
          <w:sz w:val="24"/>
          <w:szCs w:val="24"/>
          <w:lang w:val="sq-AL"/>
        </w:rPr>
        <w:t xml:space="preserve"> në përputhje me masat për COVID-19. Krahasuar me një vit më parë, rriti shtrirjen tematike dhe numrin e nëpunësve publikë të trajnuar. </w:t>
      </w:r>
      <w:r w:rsidRPr="0073510F">
        <w:rPr>
          <w:rFonts w:ascii="Times New Roman" w:hAnsi="Times New Roman" w:cs="Times New Roman"/>
          <w:b/>
          <w:bCs/>
          <w:i/>
          <w:iCs/>
          <w:sz w:val="24"/>
          <w:szCs w:val="24"/>
          <w:lang w:val="sq-AL"/>
        </w:rPr>
        <w:t>Megjithatë, mungesa e infrastrukturës pengon kapacitetin e saj për të ofruar kurse online. Një cikël trajnimi për menaxhimin e cilësisë ende nuk është krijuar. Aftësitë administrative të nëpunësve civilë të nivelit vendor duhet të përmirësohen.</w:t>
      </w:r>
    </w:p>
    <w:p w:rsidR="00C144D3" w:rsidRPr="0073510F" w:rsidRDefault="00C144D3" w:rsidP="00E31BC3">
      <w:pPr>
        <w:jc w:val="both"/>
        <w:rPr>
          <w:rFonts w:ascii="Times New Roman" w:hAnsi="Times New Roman" w:cs="Times New Roman"/>
          <w:b/>
          <w:bCs/>
          <w:sz w:val="24"/>
          <w:szCs w:val="24"/>
          <w:u w:val="single"/>
          <w:lang w:val="sq-AL"/>
        </w:rPr>
      </w:pPr>
      <w:r w:rsidRPr="0073510F">
        <w:rPr>
          <w:rFonts w:ascii="Times New Roman" w:hAnsi="Times New Roman" w:cs="Times New Roman"/>
          <w:b/>
          <w:bCs/>
          <w:sz w:val="24"/>
          <w:szCs w:val="24"/>
          <w:u w:val="single"/>
          <w:lang w:val="sq-AL"/>
        </w:rPr>
        <w:t>Llogaridhënia e administratës</w:t>
      </w:r>
    </w:p>
    <w:p w:rsidR="00C144D3" w:rsidRPr="0073510F" w:rsidRDefault="00C144D3" w:rsidP="00E31BC3">
      <w:pPr>
        <w:jc w:val="both"/>
        <w:rPr>
          <w:rFonts w:ascii="Times New Roman" w:hAnsi="Times New Roman" w:cs="Times New Roman"/>
          <w:b/>
          <w:bCs/>
          <w:i/>
          <w:iCs/>
          <w:sz w:val="24"/>
          <w:szCs w:val="24"/>
          <w:lang w:val="sq-AL"/>
        </w:rPr>
      </w:pPr>
      <w:r w:rsidRPr="0073510F">
        <w:rPr>
          <w:rFonts w:ascii="Times New Roman" w:hAnsi="Times New Roman" w:cs="Times New Roman"/>
          <w:b/>
          <w:bCs/>
          <w:i/>
          <w:iCs/>
          <w:sz w:val="24"/>
          <w:szCs w:val="24"/>
          <w:lang w:val="sq-AL"/>
        </w:rPr>
        <w:t>Kuadri ligjor për organizimin e administratës qendrore nuk ofron një kuadër gjithëpërfshirës dhe koherent për të siguruar që organet mbikëqyrëse dhe vartëse të mbahen përgjegjëse</w:t>
      </w:r>
      <w:r w:rsidRPr="007922E5">
        <w:rPr>
          <w:rFonts w:ascii="Times New Roman" w:hAnsi="Times New Roman" w:cs="Times New Roman"/>
          <w:sz w:val="24"/>
          <w:szCs w:val="24"/>
          <w:lang w:val="sq-AL"/>
        </w:rPr>
        <w:t xml:space="preserve">. </w:t>
      </w:r>
      <w:r w:rsidRPr="0073510F">
        <w:rPr>
          <w:rFonts w:ascii="Times New Roman" w:hAnsi="Times New Roman" w:cs="Times New Roman"/>
          <w:b/>
          <w:bCs/>
          <w:i/>
          <w:iCs/>
          <w:sz w:val="24"/>
          <w:szCs w:val="24"/>
          <w:lang w:val="sq-AL"/>
        </w:rPr>
        <w:t>Agjencitë si Agjencia Shtetërore për Programim Strategjik dhe Koordinim të Asistencës, Agjencia për Media dhe Informacion dhe Agjencia e Bashkëqeverisjes duhet të strukturohen më mirë dhe t'u caktohen role të qarta</w:t>
      </w:r>
      <w:r w:rsidRPr="007922E5">
        <w:rPr>
          <w:rFonts w:ascii="Times New Roman" w:hAnsi="Times New Roman" w:cs="Times New Roman"/>
          <w:sz w:val="24"/>
          <w:szCs w:val="24"/>
          <w:lang w:val="sq-AL"/>
        </w:rPr>
        <w:t xml:space="preserve">. </w:t>
      </w:r>
      <w:r w:rsidRPr="0073510F">
        <w:rPr>
          <w:rFonts w:ascii="Times New Roman" w:hAnsi="Times New Roman" w:cs="Times New Roman"/>
          <w:b/>
          <w:bCs/>
          <w:i/>
          <w:iCs/>
          <w:sz w:val="24"/>
          <w:szCs w:val="24"/>
          <w:lang w:val="sq-AL"/>
        </w:rPr>
        <w:t>Ligji për organizimin dhe funksionimin e administratës shtetërore nuk përcakton një tipologji dhe kritere të qarta për krijimin e organeve në varësi. Përveç kësaj, institucionet politikëbërëse jo gjithmonë monitorojnë zbatimin e politikave nga agjencitë e tyre vartëse dhe këto agjenci jo gjithmonë raportojnë për performancën e tyre.</w:t>
      </w:r>
    </w:p>
    <w:p w:rsidR="00C144D3" w:rsidRPr="0073510F" w:rsidRDefault="00C144D3" w:rsidP="00E31BC3">
      <w:pPr>
        <w:jc w:val="both"/>
        <w:rPr>
          <w:rFonts w:ascii="Times New Roman" w:hAnsi="Times New Roman" w:cs="Times New Roman"/>
          <w:i/>
          <w:iCs/>
          <w:sz w:val="24"/>
          <w:szCs w:val="24"/>
          <w:lang w:val="sq-AL"/>
        </w:rPr>
      </w:pPr>
      <w:r w:rsidRPr="0073510F">
        <w:rPr>
          <w:rFonts w:ascii="Times New Roman" w:hAnsi="Times New Roman" w:cs="Times New Roman"/>
          <w:i/>
          <w:iCs/>
          <w:sz w:val="24"/>
          <w:szCs w:val="24"/>
          <w:lang w:val="sq-AL"/>
        </w:rPr>
        <w:t>Ndryshimet ligjore janë të nevojshme për të përmirësuar mënyrën se si përcaktohen funksionet e politikëbërjes, duke përfshirë vendosjen e kërkesave për planifikimin dhe raportimin e performancës nga organet vartëse dhe ministritë mbikëqyrëse</w:t>
      </w:r>
      <w:r w:rsidRPr="007922E5">
        <w:rPr>
          <w:rFonts w:ascii="Times New Roman" w:hAnsi="Times New Roman" w:cs="Times New Roman"/>
          <w:sz w:val="24"/>
          <w:szCs w:val="24"/>
          <w:lang w:val="sq-AL"/>
        </w:rPr>
        <w:t xml:space="preserve">. </w:t>
      </w:r>
      <w:r w:rsidRPr="0073510F">
        <w:rPr>
          <w:rFonts w:ascii="Times New Roman" w:hAnsi="Times New Roman" w:cs="Times New Roman"/>
          <w:i/>
          <w:iCs/>
          <w:sz w:val="24"/>
          <w:szCs w:val="24"/>
          <w:lang w:val="sq-AL"/>
        </w:rPr>
        <w:t xml:space="preserve">Rrjedha e punës dhe proceset </w:t>
      </w:r>
      <w:r w:rsidRPr="0073510F">
        <w:rPr>
          <w:rFonts w:ascii="Times New Roman" w:hAnsi="Times New Roman" w:cs="Times New Roman"/>
          <w:i/>
          <w:iCs/>
          <w:sz w:val="24"/>
          <w:szCs w:val="24"/>
          <w:lang w:val="sq-AL"/>
        </w:rPr>
        <w:lastRenderedPageBreak/>
        <w:t>vendimmarrëse të administratës shtetërore duhet të jenë më transparente. Kuadri ligjor për sigurimin e llogaridhënies menaxheriale duhet të përmirësohet.</w:t>
      </w:r>
    </w:p>
    <w:p w:rsidR="00C144D3" w:rsidRPr="007922E5" w:rsidRDefault="00C144D3" w:rsidP="00E31BC3">
      <w:pPr>
        <w:jc w:val="both"/>
        <w:rPr>
          <w:rFonts w:ascii="Times New Roman" w:hAnsi="Times New Roman" w:cs="Times New Roman"/>
          <w:sz w:val="24"/>
          <w:szCs w:val="24"/>
        </w:rPr>
      </w:pPr>
      <w:r w:rsidRPr="00192AFE">
        <w:rPr>
          <w:rFonts w:ascii="Times New Roman" w:hAnsi="Times New Roman" w:cs="Times New Roman"/>
          <w:i/>
          <w:iCs/>
          <w:sz w:val="24"/>
          <w:szCs w:val="24"/>
          <w:lang w:val="sq-AL"/>
        </w:rPr>
        <w:t>E drejta e qytetarëve për administrim të mirë duhet të forcohet.</w:t>
      </w:r>
      <w:r w:rsidRPr="007922E5">
        <w:rPr>
          <w:rFonts w:ascii="Times New Roman" w:hAnsi="Times New Roman" w:cs="Times New Roman"/>
          <w:sz w:val="24"/>
          <w:szCs w:val="24"/>
          <w:lang w:val="sq-AL"/>
        </w:rPr>
        <w:t xml:space="preserve"> </w:t>
      </w:r>
      <w:r w:rsidRPr="00192AFE">
        <w:rPr>
          <w:rFonts w:ascii="Times New Roman" w:hAnsi="Times New Roman" w:cs="Times New Roman"/>
          <w:b/>
          <w:bCs/>
          <w:i/>
          <w:iCs/>
          <w:sz w:val="24"/>
          <w:szCs w:val="24"/>
          <w:lang w:val="sq-AL"/>
        </w:rPr>
        <w:t>Shkalla e zbatimit të rekomandimeve të Avokatit të Popullit ra në 50% në vitin 2021, nga 55% në 2020 dhe 62% në 2019. Kuvendi duhet të forcojë bashkëpunimin me Avokatin e Popullit dhe të adresojë problemin e mungesës së reagimit të organeve të administratës publike.</w:t>
      </w:r>
      <w:r w:rsidRPr="007922E5">
        <w:rPr>
          <w:rFonts w:ascii="Times New Roman" w:hAnsi="Times New Roman" w:cs="Times New Roman"/>
          <w:sz w:val="24"/>
          <w:szCs w:val="24"/>
          <w:lang w:val="sq-AL"/>
        </w:rPr>
        <w:t xml:space="preserve"> Në dhjetor të vitit 2021, filloi një konsultim publik për ndryshimin e ligjit për të drejtën e informimit, i cili rregullon të drejtën e qytetarëve për akses në informacionin publik. Një numër në rritje i autoriteteve publike kanë miratuar dhe publikuar programe transparence (300 në 2021, nga 239 në 2020).</w:t>
      </w:r>
    </w:p>
    <w:p w:rsidR="00C144D3" w:rsidRPr="00F21F24"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Ekziston një kuadër legjislativ për të drejtën për drejtësi administrative. </w:t>
      </w:r>
      <w:r w:rsidRPr="00F21F24">
        <w:rPr>
          <w:rFonts w:ascii="Times New Roman" w:hAnsi="Times New Roman" w:cs="Times New Roman"/>
          <w:b/>
          <w:bCs/>
          <w:i/>
          <w:iCs/>
          <w:sz w:val="24"/>
          <w:szCs w:val="24"/>
          <w:lang w:val="sq-AL"/>
        </w:rPr>
        <w:t>Kapaciteti i sistemit të gjykatës administrative dhe i kolegjeve të apelit për të trajtuar çështjet është i kufizuar, gjë që çoi në një rritje të numrit të lëndëve të pazgjidhura në vitin 2021.</w:t>
      </w:r>
      <w:r w:rsidRPr="007922E5">
        <w:rPr>
          <w:rFonts w:ascii="Times New Roman" w:hAnsi="Times New Roman" w:cs="Times New Roman"/>
          <w:sz w:val="24"/>
          <w:szCs w:val="24"/>
          <w:lang w:val="sq-AL"/>
        </w:rPr>
        <w:t xml:space="preserve"> Legjislacioni është në fuqi për të mbrojtur të d</w:t>
      </w:r>
      <w:r w:rsidRPr="007922E5">
        <w:rPr>
          <w:rFonts w:ascii="Times New Roman" w:hAnsi="Times New Roman" w:cs="Times New Roman"/>
          <w:bCs/>
          <w:sz w:val="24"/>
          <w:szCs w:val="24"/>
          <w:lang w:val="sq-AL"/>
        </w:rPr>
        <w:t>rejtën e qytetarëve për të kërkuar kompensim</w:t>
      </w:r>
      <w:r w:rsidRPr="007922E5">
        <w:rPr>
          <w:rFonts w:ascii="Times New Roman" w:hAnsi="Times New Roman" w:cs="Times New Roman"/>
          <w:sz w:val="24"/>
          <w:szCs w:val="24"/>
          <w:lang w:val="sq-AL"/>
        </w:rPr>
        <w:t xml:space="preserve"> dhe zbatohet në praktikë në çështjet gjyqësore. </w:t>
      </w:r>
      <w:r w:rsidRPr="00F21F24">
        <w:rPr>
          <w:rFonts w:ascii="Times New Roman" w:hAnsi="Times New Roman" w:cs="Times New Roman"/>
          <w:b/>
          <w:bCs/>
          <w:i/>
          <w:iCs/>
          <w:sz w:val="24"/>
          <w:szCs w:val="24"/>
          <w:lang w:val="sq-AL"/>
        </w:rPr>
        <w:t>Megjithatë, nuk ekziston një mekanizëm për monitorim dhe analizë të rregullt të praktikës administrative dhe gjyqësore në çështje të tilla, dhe qeveria nuk mbledh të dhëna për pagesat e bëra në rastet e detyrimeve publike dhe arsyet e tyre.</w:t>
      </w:r>
    </w:p>
    <w:p w:rsidR="00C144D3" w:rsidRPr="00F21F24"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lang w:val="sq-AL"/>
        </w:rPr>
        <w:t xml:space="preserve">Në nëntor 2021, Parlamenti miratoi ligjin për bashkëqeverisjen, duke i dhënë kështu kompetenca thelbësore Agjencisë për Dialog dhe Bashkëqeverisje, e cila më parë administronte një platformë online për ankesat e qytetarëve. Agjencia i raporton drejtpërdrejt Kryeministrit. Agjencia mund të kryejë inspektime në institucionet publike, në bazë të ankesave të qytetarëve dhe të aplikojë sanksione administrative ose të propozojë masa disiplinore. </w:t>
      </w:r>
      <w:r w:rsidRPr="00F21F24">
        <w:rPr>
          <w:rFonts w:ascii="Times New Roman" w:hAnsi="Times New Roman" w:cs="Times New Roman"/>
          <w:b/>
          <w:bCs/>
          <w:i/>
          <w:iCs/>
          <w:sz w:val="24"/>
          <w:szCs w:val="24"/>
          <w:lang w:val="sq-AL"/>
        </w:rPr>
        <w:t>Kjo reformë ka ngritur shqetësime për (i) ndikimin e agjencisë në planifikimin dhe koordinimin e politikave, (ii) ndikimin e ligjit të ri në kodin e procedurave administrative, (iii) ndikimin e agjencisë në ndarjen e pushteteve ndërmjet degës ekzekutive dhe asaj gjyqësore.</w:t>
      </w:r>
    </w:p>
    <w:p w:rsidR="00C144D3" w:rsidRPr="007922E5" w:rsidRDefault="00C144D3" w:rsidP="00E31BC3">
      <w:pPr>
        <w:jc w:val="both"/>
        <w:rPr>
          <w:rFonts w:ascii="Times New Roman" w:hAnsi="Times New Roman" w:cs="Times New Roman"/>
          <w:sz w:val="24"/>
          <w:szCs w:val="24"/>
          <w:u w:val="single"/>
          <w:lang w:val="sq-AL"/>
        </w:rPr>
      </w:pPr>
      <w:r w:rsidRPr="007922E5">
        <w:rPr>
          <w:rFonts w:ascii="Times New Roman" w:hAnsi="Times New Roman" w:cs="Times New Roman"/>
          <w:sz w:val="24"/>
          <w:szCs w:val="24"/>
          <w:u w:val="single"/>
          <w:lang w:val="sq-AL"/>
        </w:rPr>
        <w:t>Ofrimi i shërbimeve për qytetarët dhe bizneset</w:t>
      </w:r>
    </w:p>
    <w:p w:rsidR="00C144D3" w:rsidRPr="00227EA9"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Kornizat institucionale dhe ligjore për ofrimin e shërbimeve publike janë vendosur për të siguruar një administratë publike të orientuar nga përdoruesit. Në vitin 2021, numri i shërbimeve me një ndalesë dhe shërbimeve online, edhe pse në nivele të ndryshme automatizimi, vazhdoi të rritet dhe informacioni për qytetarët mbi shërbimet publike u bë më i aksesueshëm. </w:t>
      </w:r>
      <w:r w:rsidRPr="00227EA9">
        <w:rPr>
          <w:rFonts w:ascii="Times New Roman" w:hAnsi="Times New Roman" w:cs="Times New Roman"/>
          <w:i/>
          <w:iCs/>
          <w:sz w:val="24"/>
          <w:szCs w:val="24"/>
          <w:lang w:val="sq-AL"/>
        </w:rPr>
        <w:t>Ligji i ri për qeverisjen elektronike është në konsultim publik.</w:t>
      </w:r>
      <w:r w:rsidRPr="007922E5">
        <w:rPr>
          <w:rFonts w:ascii="Times New Roman" w:hAnsi="Times New Roman" w:cs="Times New Roman"/>
          <w:sz w:val="24"/>
          <w:szCs w:val="24"/>
          <w:lang w:val="sq-AL"/>
        </w:rPr>
        <w:t xml:space="preserve"> </w:t>
      </w:r>
      <w:r w:rsidRPr="00227EA9">
        <w:rPr>
          <w:rFonts w:ascii="Times New Roman" w:hAnsi="Times New Roman" w:cs="Times New Roman"/>
          <w:b/>
          <w:bCs/>
          <w:i/>
          <w:iCs/>
          <w:sz w:val="24"/>
          <w:szCs w:val="24"/>
          <w:lang w:val="sq-AL"/>
        </w:rPr>
        <w:t>Më 1 maj 2022, qeveria vendosi në një njoftim të shkurtër të mbyllë "front desket" që ofrojnë shërbime administrative kombëtare në nivel vendor, me synim përforcimin 100% të shërbimit në internet, me qëllimin për përmirësimin e ofrimit të shërbimeve dhe reduktimin e korrupsionit. Ndryshimi i shpejtë ka ngritur pyetje në lidhje me cilësinë dhe aksesin e shërbimit për qytetarët me aftësi të kufizuara dixhitale. Disa shoqata biznesi kanë raportuar vështirësi teknike, veçanërisht kur dorëzojnë dosje të detyrueshme.</w:t>
      </w:r>
    </w:p>
    <w:p w:rsidR="00C144D3" w:rsidRPr="00227EA9"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Kodi i Procedurave Administrative ofron kuadrin legjislativ për </w:t>
      </w:r>
      <w:r w:rsidRPr="007922E5">
        <w:rPr>
          <w:rFonts w:ascii="Times New Roman" w:hAnsi="Times New Roman" w:cs="Times New Roman"/>
          <w:bCs/>
          <w:sz w:val="24"/>
          <w:szCs w:val="24"/>
          <w:lang w:val="sq-AL"/>
        </w:rPr>
        <w:t>thjeshtimin</w:t>
      </w:r>
      <w:r w:rsidRPr="007922E5">
        <w:rPr>
          <w:rFonts w:ascii="Times New Roman" w:hAnsi="Times New Roman" w:cs="Times New Roman"/>
          <w:sz w:val="24"/>
          <w:szCs w:val="24"/>
          <w:lang w:val="sq-AL"/>
        </w:rPr>
        <w:t xml:space="preserve"> e procedurave administrative në përputhje me standardet ndërkombëtare. </w:t>
      </w:r>
      <w:r w:rsidRPr="00227EA9">
        <w:rPr>
          <w:rFonts w:ascii="Times New Roman" w:hAnsi="Times New Roman" w:cs="Times New Roman"/>
          <w:b/>
          <w:bCs/>
          <w:i/>
          <w:iCs/>
          <w:sz w:val="24"/>
          <w:szCs w:val="24"/>
          <w:lang w:val="sq-AL"/>
        </w:rPr>
        <w:t>Duhet të përfundojë procesi i harmonizimit ligjor me Kodin.</w:t>
      </w:r>
    </w:p>
    <w:p w:rsidR="00C144D3" w:rsidRPr="007922E5" w:rsidRDefault="00C144D3" w:rsidP="00C144D3">
      <w:pPr>
        <w:rPr>
          <w:rFonts w:ascii="Times New Roman" w:hAnsi="Times New Roman" w:cs="Times New Roman"/>
          <w:sz w:val="24"/>
          <w:szCs w:val="24"/>
          <w:lang w:val="sq-AL"/>
        </w:rPr>
      </w:pPr>
    </w:p>
    <w:p w:rsidR="00C144D3" w:rsidRPr="00DC6C6B" w:rsidRDefault="00C144D3" w:rsidP="00C144D3">
      <w:pPr>
        <w:rPr>
          <w:rFonts w:ascii="Times New Roman" w:hAnsi="Times New Roman" w:cs="Times New Roman"/>
          <w:b/>
          <w:bCs/>
          <w:sz w:val="24"/>
          <w:szCs w:val="24"/>
          <w:lang w:val="sq-AL"/>
        </w:rPr>
      </w:pPr>
      <w:r w:rsidRPr="00DC6C6B">
        <w:rPr>
          <w:rFonts w:ascii="Times New Roman" w:hAnsi="Times New Roman" w:cs="Times New Roman"/>
          <w:b/>
          <w:bCs/>
          <w:sz w:val="24"/>
          <w:szCs w:val="24"/>
          <w:lang w:val="sq-AL"/>
        </w:rPr>
        <w:lastRenderedPageBreak/>
        <w:t>2.2. SHTETI LIGJOR DHE TË DREJTAT THEMELORE</w:t>
      </w:r>
    </w:p>
    <w:p w:rsidR="00C144D3" w:rsidRPr="00DC6C6B" w:rsidRDefault="00C144D3" w:rsidP="00C144D3">
      <w:pPr>
        <w:rPr>
          <w:rFonts w:ascii="Times New Roman" w:hAnsi="Times New Roman" w:cs="Times New Roman"/>
          <w:b/>
          <w:bCs/>
          <w:sz w:val="24"/>
          <w:szCs w:val="24"/>
          <w:lang w:val="sq-AL"/>
        </w:rPr>
      </w:pPr>
      <w:r w:rsidRPr="00DC6C6B">
        <w:rPr>
          <w:rFonts w:ascii="Times New Roman" w:hAnsi="Times New Roman" w:cs="Times New Roman"/>
          <w:b/>
          <w:bCs/>
          <w:sz w:val="24"/>
          <w:szCs w:val="24"/>
          <w:lang w:val="sq-AL"/>
        </w:rPr>
        <w:t>2.2.1. Kapitulli 23: Gjyqësori dhe të drejtat themelore</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Vlerat themeluese të BE-së përfshijnë sundimin e ligjit dhe respektimin e të drejtave të njeriut. Një sistem gjyqësor efektiv (i pavarur, me cilësi të lartë dhe efikas) dhe një luftë efektive kundër korrupsionit janë të një rëndësie të madhe, siç është respektimi i të drejtave themelore në ligj dhe në praktikë.</w:t>
      </w:r>
    </w:p>
    <w:p w:rsidR="00C144D3" w:rsidRPr="00C50F77" w:rsidRDefault="00C144D3" w:rsidP="00C50F77">
      <w:pPr>
        <w:shd w:val="clear" w:color="auto" w:fill="AEAAAA" w:themeFill="background2" w:themeFillShade="BF"/>
        <w:jc w:val="both"/>
        <w:rPr>
          <w:rFonts w:ascii="Times New Roman" w:hAnsi="Times New Roman" w:cs="Times New Roman"/>
          <w:b/>
          <w:bCs/>
          <w:i/>
          <w:iCs/>
          <w:sz w:val="24"/>
          <w:szCs w:val="24"/>
        </w:rPr>
      </w:pPr>
      <w:r w:rsidRPr="00DC6C6B">
        <w:rPr>
          <w:rFonts w:ascii="Times New Roman" w:hAnsi="Times New Roman" w:cs="Times New Roman"/>
          <w:b/>
          <w:bCs/>
          <w:i/>
          <w:iCs/>
          <w:sz w:val="24"/>
          <w:szCs w:val="24"/>
          <w:lang w:val="sq-AL"/>
        </w:rPr>
        <w:t>Shqipëria ka një nivel përgatitjeje/është e përgatitur mesatarisht në zbatimin e acquis të BE-së dhe standardeve evropiane në fushën e gjyqësorit dhe të drejtave themelore.</w:t>
      </w:r>
      <w:r w:rsidRPr="007922E5">
        <w:rPr>
          <w:rFonts w:ascii="Times New Roman" w:hAnsi="Times New Roman" w:cs="Times New Roman"/>
          <w:sz w:val="24"/>
          <w:szCs w:val="24"/>
          <w:lang w:val="sq-AL"/>
        </w:rPr>
        <w:t xml:space="preserve"> Është bërë përparim i mirë, veçanërisht përmes zbatimit të vazhdueshëm dhe konsolidimit të reformës gjithëpërfshirëse në drejtësi. Ka pasur dy emërime shtesë në Gjykatën Kushtetuese, të cilat rrisin më tej aftësinë e gjykatës për të kryer mandatin e saj. Gjykata e Lartë ka rritur efikasitetin e saj me emërimin e gjashtë gjyqtarëve shtesë dhe ka filluar të reduktojë numrin e </w:t>
      </w:r>
      <w:r w:rsidR="00C50F77">
        <w:rPr>
          <w:rFonts w:ascii="Times New Roman" w:hAnsi="Times New Roman" w:cs="Times New Roman"/>
          <w:sz w:val="24"/>
          <w:szCs w:val="24"/>
          <w:lang w:val="sq-AL"/>
        </w:rPr>
        <w:t>ceshtjeve</w:t>
      </w:r>
      <w:r w:rsidRPr="007922E5">
        <w:rPr>
          <w:rFonts w:ascii="Times New Roman" w:hAnsi="Times New Roman" w:cs="Times New Roman"/>
          <w:sz w:val="24"/>
          <w:szCs w:val="24"/>
          <w:lang w:val="sq-AL"/>
        </w:rPr>
        <w:t xml:space="preserve"> të pazgjidhura dhe të unifikojë praktikën gjyqësore. Procesi i verifikimit për emërimet në drejtësi ka vijuar të ecë në mënyrë të qëndrueshme. Përpjekjet operative për të luftuar korrupsionin po japin disa rezultate, duke përfshirë procedurat penale dhe hetimet financiare në disa raste të nivelit të lartë, të cilat rezultuan në disa dënime përfundimtare. </w:t>
      </w:r>
      <w:r w:rsidRPr="00C50F77">
        <w:rPr>
          <w:rFonts w:ascii="Times New Roman" w:hAnsi="Times New Roman" w:cs="Times New Roman"/>
          <w:b/>
          <w:bCs/>
          <w:i/>
          <w:iCs/>
          <w:sz w:val="24"/>
          <w:szCs w:val="24"/>
          <w:lang w:val="sq-AL"/>
        </w:rPr>
        <w:t>Këto përpjekje duhet të vazhdojnë dhe të intensifikohen.</w:t>
      </w:r>
      <w:r w:rsidRPr="007922E5">
        <w:rPr>
          <w:rFonts w:ascii="Times New Roman" w:hAnsi="Times New Roman" w:cs="Times New Roman"/>
          <w:sz w:val="24"/>
          <w:szCs w:val="24"/>
          <w:lang w:val="sq-AL"/>
        </w:rPr>
        <w:t xml:space="preserve"> Sa i përket </w:t>
      </w:r>
      <w:r w:rsidRPr="00C50F77">
        <w:rPr>
          <w:rFonts w:ascii="Times New Roman" w:hAnsi="Times New Roman" w:cs="Times New Roman"/>
          <w:b/>
          <w:bCs/>
          <w:sz w:val="24"/>
          <w:szCs w:val="24"/>
          <w:lang w:val="sq-AL"/>
        </w:rPr>
        <w:t>të drejtave themelore</w:t>
      </w:r>
      <w:r w:rsidRPr="007922E5">
        <w:rPr>
          <w:rFonts w:ascii="Times New Roman" w:hAnsi="Times New Roman" w:cs="Times New Roman"/>
          <w:sz w:val="24"/>
          <w:szCs w:val="24"/>
          <w:lang w:val="sq-AL"/>
        </w:rPr>
        <w:t xml:space="preserve">, ka pasur disa përparime në një sërë fushash, por përpjekjet për zbatimin e politikave duhet të vazhdojnë. </w:t>
      </w:r>
      <w:r w:rsidRPr="00C50F77">
        <w:rPr>
          <w:rFonts w:ascii="Times New Roman" w:hAnsi="Times New Roman" w:cs="Times New Roman"/>
          <w:b/>
          <w:bCs/>
          <w:i/>
          <w:iCs/>
          <w:sz w:val="24"/>
          <w:szCs w:val="24"/>
          <w:lang w:val="sq-AL"/>
        </w:rPr>
        <w:t>Duhet të bëhet progres më i shpejtë në regjistrimin e parë të pronave dhe proceseve të tjera kalimtare.</w:t>
      </w:r>
      <w:r w:rsidRPr="007922E5">
        <w:rPr>
          <w:rFonts w:ascii="Times New Roman" w:hAnsi="Times New Roman" w:cs="Times New Roman"/>
          <w:sz w:val="24"/>
          <w:szCs w:val="24"/>
          <w:lang w:val="sq-AL"/>
        </w:rPr>
        <w:t xml:space="preserve"> Shqipëria ka miratuar një legjislacion tjetër zbatues lidhur me ligjin kuadër të vitit 2017 për mbrojtjen e personave që u përkasin pakicave kombëtare; </w:t>
      </w:r>
      <w:r w:rsidRPr="00C50F77">
        <w:rPr>
          <w:rFonts w:ascii="Times New Roman" w:hAnsi="Times New Roman" w:cs="Times New Roman"/>
          <w:b/>
          <w:bCs/>
          <w:i/>
          <w:iCs/>
          <w:sz w:val="24"/>
          <w:szCs w:val="24"/>
          <w:lang w:val="sq-AL"/>
        </w:rPr>
        <w:t>legjislacioni i mbetur zbatues duhet të miratohet për të siguruar vetë-identifikimin. Për mbrojtjen e të dhënave personale, Shqipëria duhet të marrë masa për të parandaluar përsëritjen e shkeljeve masive të të dhënave personale dhe të përshpejtojë përpjekjet për të përafruar legjislacionin e saj me acquis të BE-së për mbrojtjen e të dhënave personale.</w:t>
      </w:r>
    </w:p>
    <w:p w:rsidR="00C144D3" w:rsidRPr="00C50F77" w:rsidRDefault="00C144D3" w:rsidP="00E31BC3">
      <w:pPr>
        <w:jc w:val="both"/>
        <w:rPr>
          <w:rFonts w:ascii="Times New Roman" w:hAnsi="Times New Roman" w:cs="Times New Roman"/>
          <w:b/>
          <w:bCs/>
          <w:sz w:val="24"/>
          <w:szCs w:val="24"/>
          <w:lang w:val="sq-AL"/>
        </w:rPr>
      </w:pPr>
      <w:r w:rsidRPr="00C50F77">
        <w:rPr>
          <w:rFonts w:ascii="Times New Roman" w:hAnsi="Times New Roman" w:cs="Times New Roman"/>
          <w:b/>
          <w:bCs/>
          <w:sz w:val="24"/>
          <w:szCs w:val="24"/>
          <w:lang w:val="sq-AL"/>
        </w:rPr>
        <w:t>Funksionimi i gjyqësorit</w:t>
      </w:r>
    </w:p>
    <w:p w:rsidR="00C144D3" w:rsidRPr="00C50F77" w:rsidRDefault="00C144D3" w:rsidP="00C50F77">
      <w:pPr>
        <w:shd w:val="clear" w:color="auto" w:fill="AEAAAA" w:themeFill="background2" w:themeFillShade="BF"/>
        <w:jc w:val="both"/>
        <w:rPr>
          <w:rFonts w:ascii="Times New Roman" w:hAnsi="Times New Roman" w:cs="Times New Roman"/>
          <w:b/>
          <w:bCs/>
          <w:i/>
          <w:iCs/>
          <w:sz w:val="24"/>
          <w:szCs w:val="24"/>
          <w:lang w:val="sq-AL"/>
        </w:rPr>
      </w:pPr>
      <w:r w:rsidRPr="00C50F77">
        <w:rPr>
          <w:rFonts w:ascii="Times New Roman" w:hAnsi="Times New Roman" w:cs="Times New Roman"/>
          <w:b/>
          <w:bCs/>
          <w:i/>
          <w:iCs/>
          <w:sz w:val="24"/>
          <w:szCs w:val="24"/>
          <w:lang w:val="sq-AL"/>
        </w:rPr>
        <w:t>Shqipëria është e përgatitur në mënyrë të moderuar për funksionimin e gjyqësorit</w:t>
      </w:r>
      <w:r w:rsidRPr="007922E5">
        <w:rPr>
          <w:rFonts w:ascii="Times New Roman" w:hAnsi="Times New Roman" w:cs="Times New Roman"/>
          <w:sz w:val="24"/>
          <w:szCs w:val="24"/>
          <w:lang w:val="sq-AL"/>
        </w:rPr>
        <w:t xml:space="preserve">. Është bërë progres i mirë, me zbatimin e vazhdueshëm të reformës në drejtësi. U miratua një zgjatje kushtetuese me afat të mandatit të organeve të vettingut, duke siguruar kështu vazhdimin e pandërprerë dhe të qëndrueshëm të procesit të vettingut. Deri më sot, 64% e dosjeve të vettingut të përpunuara kanë rezultuar me shkarkime, dorëheqje ose përfundim të mandatit të magjistratëve që janë nënshtruar proçesit të vettingut. Pas emërimeve të reja të gjyqtarëve, Gjykata e Lartë ka reduktuar për herë të parë pas gjashtë vitesh numrin e çështjeve të mbetura dhe ka arritur kuorumin për të bërë emërimet e gjyqtarëve në Gjykatën Kushtetuese, duke vazhduar me një emërim të tillë. Gjykata e Strukturës së Specializuar për Kundër Korrupsionit dhe Krimit të Organizuar (SPAK) dha disa vendime të rëndësishme që kanë të bëjnë me zyrtarë të lartë, duke përfshirë një ish-ministër të Brendshëm dhe një ish-prokuror të Përgjithshëm. </w:t>
      </w:r>
      <w:r w:rsidRPr="00C50F77">
        <w:rPr>
          <w:rFonts w:ascii="Times New Roman" w:hAnsi="Times New Roman" w:cs="Times New Roman"/>
          <w:b/>
          <w:bCs/>
          <w:i/>
          <w:iCs/>
          <w:sz w:val="24"/>
          <w:szCs w:val="24"/>
          <w:lang w:val="sq-AL"/>
        </w:rPr>
        <w:t>Është bërë përparim i kufizuar në rekomandimin për përmirësimin e sistemit të menaxhimit të rasteve dhe sistemit të trajnimit ligjor, i cili ka qenë në pritje për disa vite. Efikasiteti i sistemit gjyqësor ndikohet negativisht nga kohëzgjatja e procedimeve, shkalla e ulët e përmbylljeve të çështjeve dhe numri i madh i çështjeve të mbetura.</w:t>
      </w:r>
    </w:p>
    <w:p w:rsidR="00C144D3" w:rsidRPr="00C50F77" w:rsidRDefault="00C144D3" w:rsidP="00C50F77">
      <w:pPr>
        <w:shd w:val="clear" w:color="auto" w:fill="AEAAAA" w:themeFill="background2" w:themeFillShade="BF"/>
        <w:jc w:val="both"/>
        <w:rPr>
          <w:rFonts w:ascii="Times New Roman" w:hAnsi="Times New Roman" w:cs="Times New Roman"/>
          <w:b/>
          <w:bCs/>
          <w:sz w:val="24"/>
          <w:szCs w:val="24"/>
          <w:lang w:val="sq-AL"/>
        </w:rPr>
      </w:pPr>
      <w:r w:rsidRPr="00C50F77">
        <w:rPr>
          <w:rFonts w:ascii="Times New Roman" w:hAnsi="Times New Roman" w:cs="Times New Roman"/>
          <w:b/>
          <w:bCs/>
          <w:sz w:val="24"/>
          <w:szCs w:val="24"/>
          <w:lang w:val="sq-AL"/>
        </w:rPr>
        <w:lastRenderedPageBreak/>
        <w:t>Rekomandime për vitin e ardhshëm:</w:t>
      </w:r>
    </w:p>
    <w:p w:rsidR="00C144D3" w:rsidRPr="00C50F77" w:rsidRDefault="00C144D3" w:rsidP="00C50F77">
      <w:pPr>
        <w:shd w:val="clear" w:color="auto" w:fill="AEAAAA" w:themeFill="background2" w:themeFillShade="BF"/>
        <w:jc w:val="both"/>
        <w:rPr>
          <w:rFonts w:ascii="Times New Roman" w:hAnsi="Times New Roman" w:cs="Times New Roman"/>
          <w:i/>
          <w:iCs/>
          <w:sz w:val="24"/>
          <w:szCs w:val="24"/>
          <w:lang w:val="sq-AL"/>
        </w:rPr>
      </w:pPr>
      <w:r w:rsidRPr="007922E5">
        <w:rPr>
          <w:rFonts w:ascii="Times New Roman" w:hAnsi="Times New Roman" w:cs="Times New Roman"/>
          <w:sz w:val="24"/>
          <w:szCs w:val="24"/>
          <w:lang w:val="sq-AL"/>
        </w:rPr>
        <w:sym w:font="Symbol" w:char="F0AE"/>
      </w:r>
      <w:r w:rsidRPr="007922E5">
        <w:rPr>
          <w:rFonts w:ascii="Times New Roman" w:hAnsi="Times New Roman" w:cs="Times New Roman"/>
          <w:sz w:val="24"/>
          <w:szCs w:val="24"/>
          <w:lang w:val="sq-AL"/>
        </w:rPr>
        <w:t xml:space="preserve"> </w:t>
      </w:r>
      <w:r w:rsidRPr="00C50F77">
        <w:rPr>
          <w:rFonts w:ascii="Times New Roman" w:hAnsi="Times New Roman" w:cs="Times New Roman"/>
          <w:i/>
          <w:iCs/>
          <w:sz w:val="24"/>
          <w:szCs w:val="24"/>
          <w:lang w:val="sq-AL"/>
        </w:rPr>
        <w:t>avancimi i mëtejshëm i procesit të rivlerësimit të gjyqtarëve dhe prokurorëve (vetting) dhe, kur është e mundur, rritj</w:t>
      </w:r>
      <w:r w:rsidR="00C50F77" w:rsidRPr="00C50F77">
        <w:rPr>
          <w:rFonts w:ascii="Times New Roman" w:hAnsi="Times New Roman" w:cs="Times New Roman"/>
          <w:i/>
          <w:iCs/>
          <w:sz w:val="24"/>
          <w:szCs w:val="24"/>
          <w:lang w:val="sq-AL"/>
        </w:rPr>
        <w:t>e te</w:t>
      </w:r>
      <w:r w:rsidRPr="00C50F77">
        <w:rPr>
          <w:rFonts w:ascii="Times New Roman" w:hAnsi="Times New Roman" w:cs="Times New Roman"/>
          <w:i/>
          <w:iCs/>
          <w:sz w:val="24"/>
          <w:szCs w:val="24"/>
          <w:lang w:val="sq-AL"/>
        </w:rPr>
        <w:t xml:space="preserve"> ritmit të procedurave duke pasur parasysh cilësinë e procesit;</w:t>
      </w:r>
    </w:p>
    <w:p w:rsidR="00C144D3" w:rsidRPr="00C50F77" w:rsidRDefault="00C144D3" w:rsidP="00C50F77">
      <w:pPr>
        <w:shd w:val="clear" w:color="auto" w:fill="AEAAAA" w:themeFill="background2" w:themeFillShade="BF"/>
        <w:jc w:val="both"/>
        <w:rPr>
          <w:rFonts w:ascii="Times New Roman" w:hAnsi="Times New Roman" w:cs="Times New Roman"/>
          <w:i/>
          <w:iCs/>
          <w:sz w:val="24"/>
          <w:szCs w:val="24"/>
          <w:lang w:val="sq-AL"/>
        </w:rPr>
      </w:pPr>
      <w:r w:rsidRPr="00C50F77">
        <w:rPr>
          <w:rFonts w:ascii="Times New Roman" w:hAnsi="Times New Roman" w:cs="Times New Roman"/>
          <w:i/>
          <w:iCs/>
          <w:sz w:val="24"/>
          <w:szCs w:val="24"/>
          <w:lang w:val="sq-AL"/>
        </w:rPr>
        <w:sym w:font="Symbol" w:char="F0AE"/>
      </w:r>
      <w:r w:rsidRPr="00C50F77">
        <w:rPr>
          <w:rFonts w:ascii="Times New Roman" w:hAnsi="Times New Roman" w:cs="Times New Roman"/>
          <w:i/>
          <w:iCs/>
          <w:sz w:val="24"/>
          <w:szCs w:val="24"/>
          <w:lang w:val="sq-AL"/>
        </w:rPr>
        <w:t xml:space="preserve"> konsolidimi i përpjekjeve për të rritur efikasitetin dhe transparencën e të gjitha gjykatave dhe prokurorive, duke përfshirë veprimet e shpejta dhe vendimtare për ngritjen e një Sistemi modern të Integruar të Menaxhimit të Çështjeve dhe me paraqitjen e një plani solid të zbatimit për hartën e re gjyqësore;</w:t>
      </w:r>
    </w:p>
    <w:p w:rsidR="00C144D3" w:rsidRPr="00C50F77" w:rsidRDefault="00C144D3" w:rsidP="00C50F77">
      <w:pPr>
        <w:shd w:val="clear" w:color="auto" w:fill="AEAAAA" w:themeFill="background2" w:themeFillShade="BF"/>
        <w:jc w:val="both"/>
        <w:rPr>
          <w:rFonts w:ascii="Times New Roman" w:hAnsi="Times New Roman" w:cs="Times New Roman"/>
          <w:i/>
          <w:iCs/>
          <w:sz w:val="24"/>
          <w:szCs w:val="24"/>
          <w:lang w:val="sq-AL"/>
        </w:rPr>
      </w:pPr>
      <w:r w:rsidRPr="00C50F77">
        <w:rPr>
          <w:rFonts w:ascii="Times New Roman" w:hAnsi="Times New Roman" w:cs="Times New Roman"/>
          <w:i/>
          <w:iCs/>
          <w:sz w:val="24"/>
          <w:szCs w:val="24"/>
          <w:lang w:val="sq-AL"/>
        </w:rPr>
        <w:sym w:font="Symbol" w:char="F0AE"/>
      </w:r>
      <w:r w:rsidRPr="00C50F77">
        <w:rPr>
          <w:rFonts w:ascii="Times New Roman" w:hAnsi="Times New Roman" w:cs="Times New Roman"/>
          <w:i/>
          <w:iCs/>
          <w:sz w:val="24"/>
          <w:szCs w:val="24"/>
          <w:lang w:val="sq-AL"/>
        </w:rPr>
        <w:t xml:space="preserve"> vazhdimi i konsolidimit të kapaciteteve të sistemit gjyqësor dhe institucioneve të tij vetëqeverisëse, duke bërë njëkohësisht përmirësime të cilësisë dhe efikasitetit në Shkollën e Magjistraturës.</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Rivlerësimi gjithëpërfshirës kalimtar (vetting) i të gjithë gjyqtarëve dhe prokurorëve vazhdoi të përparojë me një ritëm të qëndrueshëm. Operacioni Ndërkombëtar i Monitorimit, i vendosur nën kujdesin e Komisionit Evropian, vazhdoi të ushtrojë mbikëqyrje të pavarur.</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Deri më 12 shtator 2022, institucionet e vettingut kishin përfunduar 554 raste të vettingut në shkallë të parë. Prej tyre 405 vendime janë përfundimtare. Në përgjithësi, rreth 64 % e dosjeve të vettingut të përpunuara deri më tani kanë rezultuar me largim ose përfundim për shkak të dorëheqjeve nga të vlerësuarit ose plotësimit të moshës së pensionit. Rezultati i vendimeve të organit të shkallës së parë të verifikimit, Komisionit të Pavarur të Kualifikimit dhe, sipas rastit, të vendimeve të </w:t>
      </w:r>
      <w:r w:rsidR="00C50F77">
        <w:rPr>
          <w:rFonts w:ascii="Times New Roman" w:hAnsi="Times New Roman" w:cs="Times New Roman"/>
          <w:sz w:val="24"/>
          <w:szCs w:val="24"/>
          <w:lang w:val="sq-AL"/>
        </w:rPr>
        <w:t>Komisionit te Posacem t</w:t>
      </w:r>
      <w:r w:rsidRPr="007922E5">
        <w:rPr>
          <w:rFonts w:ascii="Times New Roman" w:hAnsi="Times New Roman" w:cs="Times New Roman"/>
          <w:sz w:val="24"/>
          <w:szCs w:val="24"/>
          <w:lang w:val="sq-AL"/>
        </w:rPr>
        <w:t>ë Apelit, rezulton si më poshtë: 228 shkarkime, kryesisht për çështje që kanë të bëjnë me pasuri të pajustifikuara; 195 konfirmime në detyrë; 128 vendime për pushimin e procedurës së vetingut; dhe tre vendime për pezullimin e të vlerësuarve. Komisioni i Pavarur i Kualifikimit ka nisur zyrtarisht hetimet për të gjitha çështjet e vettingut në pritje. Operacioni Ndërkombëtar i Monitorimit ka vijuar të kryejë rolin e tij mbikëqyrës në procesin e vettingut dhe ka dhënë opinione për vlerësimet e shkallës së parë, duke përfshirë 23 rekomandime për ankim dhe pesë mendime kundërshtuese ose kontradiktore pas vendimeve përfundimtare. Institucioni i Vettingut të Komisionerëve Publikë ka ndjekur të gjitha rekomandimet për ankimim.</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Në të njëjtën periudhë, Dhoma e Apelit ka marrë 157 vendime dhe ka regjistruar 291 lëndë. Nga këto, 67 janë ankimuar nga Komisioneri Publik, 227 nga vetë të vlerësuarit dhe tre raste janë ankimuar si nga të vlerësuarit ashtu edhe nga Komisioneri Publik. Gjithsej, janë 134 çështje të verifikimit në pritje. Megjithatë, 6048 raste janë regjistruar dhe trajtuar në bazë të informacioneve të publikut.</w:t>
      </w:r>
    </w:p>
    <w:p w:rsidR="00C144D3" w:rsidRPr="007922E5" w:rsidRDefault="00C144D3" w:rsidP="00E31BC3">
      <w:pPr>
        <w:jc w:val="both"/>
        <w:rPr>
          <w:rFonts w:ascii="Times New Roman" w:hAnsi="Times New Roman" w:cs="Times New Roman"/>
          <w:sz w:val="24"/>
          <w:szCs w:val="24"/>
          <w:lang w:val="sq-AL"/>
        </w:rPr>
      </w:pPr>
      <w:r w:rsidRPr="00C50F77">
        <w:rPr>
          <w:rFonts w:ascii="Times New Roman" w:hAnsi="Times New Roman" w:cs="Times New Roman"/>
          <w:b/>
          <w:bCs/>
          <w:i/>
          <w:iCs/>
          <w:sz w:val="24"/>
          <w:szCs w:val="24"/>
          <w:lang w:val="sq-AL"/>
        </w:rPr>
        <w:t>Institucionet e vettingut pritet të vijojnë referimin e rasteve në prokurori, ku ka të dhëna për vepra penale.</w:t>
      </w:r>
      <w:r w:rsidRPr="007922E5">
        <w:rPr>
          <w:rFonts w:ascii="Times New Roman" w:hAnsi="Times New Roman" w:cs="Times New Roman"/>
          <w:sz w:val="24"/>
          <w:szCs w:val="24"/>
          <w:lang w:val="sq-AL"/>
        </w:rPr>
        <w:t xml:space="preserve"> Deri më 12 shtator 2022, në Prokurorinë e Posaçme ishin dorëzuar 30 dosje, përfshirë 12 çështje me ish-gjyqtarë të Gjykatës së Lartë dhe Gjykatës Kushtetuese. Nga këto, dy hetime kanë rezultuar me dënime, të tjerat ose janë në pritje ose janë ndërprerë.</w:t>
      </w:r>
    </w:p>
    <w:p w:rsidR="00C144D3" w:rsidRPr="00C50F77" w:rsidRDefault="00C144D3" w:rsidP="00E31BC3">
      <w:pPr>
        <w:jc w:val="both"/>
        <w:rPr>
          <w:rFonts w:ascii="Times New Roman" w:hAnsi="Times New Roman" w:cs="Times New Roman"/>
          <w:b/>
          <w:bCs/>
          <w:sz w:val="24"/>
          <w:szCs w:val="24"/>
          <w:lang w:val="sq-AL"/>
        </w:rPr>
      </w:pPr>
      <w:r w:rsidRPr="00C50F77">
        <w:rPr>
          <w:rFonts w:ascii="Times New Roman" w:hAnsi="Times New Roman" w:cs="Times New Roman"/>
          <w:b/>
          <w:bCs/>
          <w:sz w:val="24"/>
          <w:szCs w:val="24"/>
          <w:u w:val="single"/>
          <w:lang w:val="sq-AL"/>
        </w:rPr>
        <w:t>Dokumentet strategjike</w:t>
      </w:r>
    </w:p>
    <w:p w:rsidR="00C144D3" w:rsidRPr="00C50F77"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Strategjia e re ndërsektoriale e drejtësisë dhe plani i saj i veprimit për 2021-2025 janë miratuar nga Këshilli i Ministrave dhe duhet të zbatohen me efektivitet. Ministria e Drejtësisë ka forcuar </w:t>
      </w:r>
      <w:r w:rsidRPr="007922E5">
        <w:rPr>
          <w:rFonts w:ascii="Times New Roman" w:hAnsi="Times New Roman" w:cs="Times New Roman"/>
          <w:sz w:val="24"/>
          <w:szCs w:val="24"/>
          <w:lang w:val="sq-AL"/>
        </w:rPr>
        <w:lastRenderedPageBreak/>
        <w:t xml:space="preserve">kapacitetet e saj të brendshme për mbledhjen dhe raportimin e të dhënave. Komiteti Drejtues Sektorial për Reformën në Drejtësi funksionon në nivel teknik nëpërmjet dy grupeve tematike. </w:t>
      </w:r>
      <w:r w:rsidRPr="00C50F77">
        <w:rPr>
          <w:rFonts w:ascii="Times New Roman" w:hAnsi="Times New Roman" w:cs="Times New Roman"/>
          <w:b/>
          <w:bCs/>
          <w:i/>
          <w:iCs/>
          <w:sz w:val="24"/>
          <w:szCs w:val="24"/>
          <w:lang w:val="sq-AL"/>
        </w:rPr>
        <w:t>Përmirësimi i mëtejshëm i koordinimit ndërmjet institucioneve të drejtësisë mbetet i nevojshëm.</w:t>
      </w:r>
    </w:p>
    <w:p w:rsidR="00C144D3" w:rsidRPr="00C50F77" w:rsidRDefault="00C144D3" w:rsidP="00E31BC3">
      <w:pPr>
        <w:jc w:val="both"/>
        <w:rPr>
          <w:rFonts w:ascii="Times New Roman" w:hAnsi="Times New Roman" w:cs="Times New Roman"/>
          <w:b/>
          <w:bCs/>
          <w:sz w:val="24"/>
          <w:szCs w:val="24"/>
          <w:u w:val="single"/>
          <w:lang w:val="sq-AL"/>
        </w:rPr>
      </w:pPr>
      <w:r w:rsidRPr="00C50F77">
        <w:rPr>
          <w:rFonts w:ascii="Times New Roman" w:hAnsi="Times New Roman" w:cs="Times New Roman"/>
          <w:b/>
          <w:bCs/>
          <w:sz w:val="24"/>
          <w:szCs w:val="24"/>
          <w:u w:val="single"/>
          <w:lang w:val="sq-AL"/>
        </w:rPr>
        <w:t>Organe të reja të specializuara</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Struktura e Specializuar kundër Korrupsionit dhe Krimit të Organizuar (SPAK), e përbërë nga Prokuroria e Posaçme dhe Byroja Kombëtare e Hetimit (BK</w:t>
      </w:r>
      <w:r w:rsidR="00C50F77">
        <w:rPr>
          <w:rFonts w:ascii="Times New Roman" w:hAnsi="Times New Roman" w:cs="Times New Roman"/>
          <w:sz w:val="24"/>
          <w:szCs w:val="24"/>
          <w:lang w:val="sq-AL"/>
        </w:rPr>
        <w:t>H</w:t>
      </w:r>
      <w:r w:rsidRPr="007922E5">
        <w:rPr>
          <w:rFonts w:ascii="Times New Roman" w:hAnsi="Times New Roman" w:cs="Times New Roman"/>
          <w:sz w:val="24"/>
          <w:szCs w:val="24"/>
          <w:lang w:val="sq-AL"/>
        </w:rPr>
        <w:t xml:space="preserve">) </w:t>
      </w:r>
      <w:r w:rsidR="00C50F77">
        <w:rPr>
          <w:rFonts w:ascii="Times New Roman" w:hAnsi="Times New Roman" w:cs="Times New Roman"/>
          <w:sz w:val="24"/>
          <w:szCs w:val="24"/>
          <w:lang w:val="sq-AL"/>
        </w:rPr>
        <w:t>jane</w:t>
      </w:r>
      <w:r w:rsidRPr="007922E5">
        <w:rPr>
          <w:rFonts w:ascii="Times New Roman" w:hAnsi="Times New Roman" w:cs="Times New Roman"/>
          <w:sz w:val="24"/>
          <w:szCs w:val="24"/>
          <w:lang w:val="sq-AL"/>
        </w:rPr>
        <w:t xml:space="preserve"> tashmë funksionale. </w:t>
      </w:r>
      <w:r w:rsidRPr="00C50F77">
        <w:rPr>
          <w:rFonts w:ascii="Times New Roman" w:hAnsi="Times New Roman" w:cs="Times New Roman"/>
          <w:b/>
          <w:bCs/>
          <w:i/>
          <w:iCs/>
          <w:sz w:val="24"/>
          <w:szCs w:val="24"/>
          <w:lang w:val="sq-AL"/>
        </w:rPr>
        <w:t>Në kuadër të rritjes së ngarkesës së punës, mungesa e stafit ka qenë një nga sfidat kryesore të SPAK</w:t>
      </w:r>
      <w:r w:rsidRPr="007922E5">
        <w:rPr>
          <w:rFonts w:ascii="Times New Roman" w:hAnsi="Times New Roman" w:cs="Times New Roman"/>
          <w:sz w:val="24"/>
          <w:szCs w:val="24"/>
          <w:lang w:val="sq-AL"/>
        </w:rPr>
        <w:t xml:space="preserve">. </w:t>
      </w:r>
      <w:r w:rsidR="00111B49">
        <w:rPr>
          <w:rFonts w:ascii="Times New Roman" w:hAnsi="Times New Roman" w:cs="Times New Roman"/>
          <w:sz w:val="24"/>
          <w:szCs w:val="24"/>
          <w:lang w:val="sq-AL"/>
        </w:rPr>
        <w:t xml:space="preserve">Zyra e </w:t>
      </w:r>
      <w:r w:rsidR="00111B49" w:rsidRPr="007922E5">
        <w:rPr>
          <w:rFonts w:ascii="Times New Roman" w:hAnsi="Times New Roman" w:cs="Times New Roman"/>
          <w:sz w:val="24"/>
          <w:szCs w:val="24"/>
          <w:lang w:val="sq-AL"/>
        </w:rPr>
        <w:t>Prokurori</w:t>
      </w:r>
      <w:r w:rsidR="00111B49">
        <w:rPr>
          <w:rFonts w:ascii="Times New Roman" w:hAnsi="Times New Roman" w:cs="Times New Roman"/>
          <w:sz w:val="24"/>
          <w:szCs w:val="24"/>
          <w:lang w:val="sq-AL"/>
        </w:rPr>
        <w:t>t te</w:t>
      </w:r>
      <w:r w:rsidR="00111B49" w:rsidRPr="007922E5">
        <w:rPr>
          <w:rFonts w:ascii="Times New Roman" w:hAnsi="Times New Roman" w:cs="Times New Roman"/>
          <w:sz w:val="24"/>
          <w:szCs w:val="24"/>
          <w:lang w:val="sq-AL"/>
        </w:rPr>
        <w:t xml:space="preserve"> Posaç</w:t>
      </w:r>
      <w:r w:rsidR="00111B49">
        <w:rPr>
          <w:rFonts w:ascii="Times New Roman" w:hAnsi="Times New Roman" w:cs="Times New Roman"/>
          <w:sz w:val="24"/>
          <w:szCs w:val="24"/>
          <w:lang w:val="sq-AL"/>
        </w:rPr>
        <w:t>e</w:t>
      </w:r>
      <w:r w:rsidR="00111B49" w:rsidRPr="007922E5">
        <w:rPr>
          <w:rFonts w:ascii="Times New Roman" w:hAnsi="Times New Roman" w:cs="Times New Roman"/>
          <w:sz w:val="24"/>
          <w:szCs w:val="24"/>
          <w:lang w:val="sq-AL"/>
        </w:rPr>
        <w:t xml:space="preserve">m </w:t>
      </w:r>
      <w:r w:rsidRPr="007922E5">
        <w:rPr>
          <w:rFonts w:ascii="Times New Roman" w:hAnsi="Times New Roman" w:cs="Times New Roman"/>
          <w:sz w:val="24"/>
          <w:szCs w:val="24"/>
          <w:lang w:val="sq-AL"/>
        </w:rPr>
        <w:t xml:space="preserve">ka 17 prokurorë, dhe një buxhet që lejon 20. Rekrutimi i tetë hetuesve financiarë është duke u zhvilluar dhe një koordinator mediash mori detyrën në shtator 2021. Pas një raundi të dytë rekrutimi, </w:t>
      </w:r>
      <w:r w:rsidR="00C50F77">
        <w:rPr>
          <w:rFonts w:ascii="Times New Roman" w:hAnsi="Times New Roman" w:cs="Times New Roman"/>
          <w:sz w:val="24"/>
          <w:szCs w:val="24"/>
          <w:lang w:val="sq-AL"/>
        </w:rPr>
        <w:t>BKH</w:t>
      </w:r>
      <w:r w:rsidRPr="007922E5">
        <w:rPr>
          <w:rFonts w:ascii="Times New Roman" w:hAnsi="Times New Roman" w:cs="Times New Roman"/>
          <w:sz w:val="24"/>
          <w:szCs w:val="24"/>
          <w:lang w:val="sq-AL"/>
        </w:rPr>
        <w:t xml:space="preserve"> arriti kapacitetin e saj të plotë operacional prej 60 hetuesit në qershor. Siç parashikohet nga ligji, një Komision Ndërkombëtar i përbërë nga dy ekspertë të drejtësisë penale të emëruar nga BE-ja dhe dy nga qeveria e SHBA, vazhdoi të monitorojë zhvillimin e </w:t>
      </w:r>
      <w:r w:rsidR="00C50F77">
        <w:rPr>
          <w:rFonts w:ascii="Times New Roman" w:hAnsi="Times New Roman" w:cs="Times New Roman"/>
          <w:sz w:val="24"/>
          <w:szCs w:val="24"/>
          <w:lang w:val="sq-AL"/>
        </w:rPr>
        <w:t>BKH</w:t>
      </w:r>
      <w:r w:rsidRPr="007922E5">
        <w:rPr>
          <w:rFonts w:ascii="Times New Roman" w:hAnsi="Times New Roman" w:cs="Times New Roman"/>
          <w:sz w:val="24"/>
          <w:szCs w:val="24"/>
          <w:lang w:val="sq-AL"/>
        </w:rPr>
        <w:t>.</w:t>
      </w:r>
    </w:p>
    <w:p w:rsidR="00C144D3" w:rsidRPr="00FE4B2F" w:rsidRDefault="00C144D3" w:rsidP="00E31BC3">
      <w:pPr>
        <w:jc w:val="both"/>
        <w:rPr>
          <w:rFonts w:ascii="Times New Roman" w:hAnsi="Times New Roman" w:cs="Times New Roman"/>
          <w:b/>
          <w:bCs/>
          <w:sz w:val="24"/>
          <w:szCs w:val="24"/>
          <w:u w:val="single"/>
          <w:lang w:val="sq-AL"/>
        </w:rPr>
      </w:pPr>
      <w:r w:rsidRPr="00FE4B2F">
        <w:rPr>
          <w:rFonts w:ascii="Times New Roman" w:hAnsi="Times New Roman" w:cs="Times New Roman"/>
          <w:b/>
          <w:bCs/>
          <w:sz w:val="24"/>
          <w:szCs w:val="24"/>
          <w:u w:val="single"/>
          <w:lang w:val="sq-AL"/>
        </w:rPr>
        <w:t>Organet drejtuese</w:t>
      </w:r>
    </w:p>
    <w:p w:rsidR="00C144D3" w:rsidRPr="007922E5" w:rsidRDefault="00C144D3" w:rsidP="00E31BC3">
      <w:pPr>
        <w:jc w:val="both"/>
        <w:rPr>
          <w:rFonts w:ascii="Times New Roman" w:hAnsi="Times New Roman" w:cs="Times New Roman"/>
          <w:sz w:val="24"/>
          <w:szCs w:val="24"/>
          <w:lang w:val="sq-AL"/>
        </w:rPr>
      </w:pPr>
      <w:r w:rsidRPr="007922E5">
        <w:rPr>
          <w:rFonts w:ascii="Times New Roman" w:hAnsi="Times New Roman" w:cs="Times New Roman"/>
          <w:sz w:val="24"/>
          <w:szCs w:val="24"/>
          <w:lang w:val="sq-AL"/>
        </w:rPr>
        <w:t xml:space="preserve">Institucionet vetëqeverisëse të gjyqësorit kanë vazhduar të ushtrojnë plotësisht funksionet e tyre. Këshilli i Lartë Gjyqësor (KLGJ) dhe Këshilli i Lartë i Prokurorisë (KLP) rinovuan pjesërisht anëtarësimin e tyre, duke përfshirë gjyqtarë dhe anëtarë </w:t>
      </w:r>
      <w:r w:rsidR="00FE4B2F">
        <w:rPr>
          <w:rFonts w:ascii="Times New Roman" w:hAnsi="Times New Roman" w:cs="Times New Roman"/>
          <w:sz w:val="24"/>
          <w:szCs w:val="24"/>
          <w:lang w:val="sq-AL"/>
        </w:rPr>
        <w:t>jo gjytare</w:t>
      </w:r>
      <w:r w:rsidRPr="007922E5">
        <w:rPr>
          <w:rFonts w:ascii="Times New Roman" w:hAnsi="Times New Roman" w:cs="Times New Roman"/>
          <w:sz w:val="24"/>
          <w:szCs w:val="24"/>
          <w:lang w:val="sq-AL"/>
        </w:rPr>
        <w:t xml:space="preserve">. </w:t>
      </w:r>
      <w:r w:rsidRPr="00FE4B2F">
        <w:rPr>
          <w:rFonts w:ascii="Times New Roman" w:hAnsi="Times New Roman" w:cs="Times New Roman"/>
          <w:b/>
          <w:bCs/>
          <w:i/>
          <w:iCs/>
          <w:sz w:val="24"/>
          <w:szCs w:val="24"/>
          <w:lang w:val="sq-AL"/>
        </w:rPr>
        <w:t xml:space="preserve">Parlamenti dhe organet e emërimit të anëtarëve </w:t>
      </w:r>
      <w:r w:rsidR="00FE4B2F" w:rsidRPr="00FE4B2F">
        <w:rPr>
          <w:rFonts w:ascii="Times New Roman" w:hAnsi="Times New Roman" w:cs="Times New Roman"/>
          <w:b/>
          <w:bCs/>
          <w:i/>
          <w:iCs/>
          <w:sz w:val="24"/>
          <w:szCs w:val="24"/>
          <w:lang w:val="sq-AL"/>
        </w:rPr>
        <w:t>jo gjyqtare</w:t>
      </w:r>
      <w:r w:rsidRPr="00FE4B2F">
        <w:rPr>
          <w:rFonts w:ascii="Times New Roman" w:hAnsi="Times New Roman" w:cs="Times New Roman"/>
          <w:b/>
          <w:bCs/>
          <w:i/>
          <w:iCs/>
          <w:sz w:val="24"/>
          <w:szCs w:val="24"/>
          <w:lang w:val="sq-AL"/>
        </w:rPr>
        <w:t xml:space="preserve"> duhet të sigurojnë konkurrencë dhe transparencë më të madhe në procesin e emërimit</w:t>
      </w:r>
      <w:r w:rsidRPr="007922E5">
        <w:rPr>
          <w:rFonts w:ascii="Times New Roman" w:hAnsi="Times New Roman" w:cs="Times New Roman"/>
          <w:sz w:val="24"/>
          <w:szCs w:val="24"/>
          <w:lang w:val="sq-AL"/>
        </w:rPr>
        <w:t>. Dy vende vakante për anëtarë jo magjistratë mbeten të hapura në KLP.</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lang w:val="sq-AL"/>
        </w:rPr>
        <w:t>KLGJ ka avancuar me emërimet e gjyqtarëve në pozicionet vakante dhe ka vazhduar të miratojë një pjesë të konsiderueshme të akteve nënligjore që rregullojnë veprimtarinë e sistemit gjyqësor dhe gjykatave. KLP ka vazhduar të promovojë prokurorët e rretheve. KLP duhet të sigurojë zbatimin e rregullave për promovimin dhe vlerësimin e prokurorëve. KLP duhet të sigurojë bashkëpunim të ngushtë me Prokurorinë e Përgjithshme në funksion të zbatimit të saktë të kuadrit ligjor në fuqi. Ky bashkëpunim i shtuar do të ishte i një rëndësie të veçantë gjatë vlerësimit dhe promovimit të prokurorëve.</w:t>
      </w:r>
    </w:p>
    <w:p w:rsidR="00C144D3" w:rsidRPr="00060D01" w:rsidRDefault="00C144D3" w:rsidP="00E31BC3">
      <w:pPr>
        <w:jc w:val="both"/>
        <w:rPr>
          <w:rFonts w:ascii="Times New Roman" w:hAnsi="Times New Roman" w:cs="Times New Roman"/>
          <w:b/>
          <w:bCs/>
          <w:sz w:val="24"/>
          <w:szCs w:val="24"/>
          <w:u w:val="single"/>
          <w:lang w:val="sq-AL"/>
        </w:rPr>
      </w:pPr>
      <w:r w:rsidRPr="00060D01">
        <w:rPr>
          <w:rFonts w:ascii="Times New Roman" w:hAnsi="Times New Roman" w:cs="Times New Roman"/>
          <w:b/>
          <w:bCs/>
          <w:sz w:val="24"/>
          <w:szCs w:val="24"/>
          <w:u w:val="single"/>
          <w:lang w:val="sq-AL"/>
        </w:rPr>
        <w:t>Pavarësia dhe paanshmëria</w:t>
      </w:r>
    </w:p>
    <w:p w:rsidR="00C144D3" w:rsidRPr="00A67F9A" w:rsidRDefault="00C144D3" w:rsidP="00E31BC3">
      <w:pPr>
        <w:jc w:val="both"/>
        <w:rPr>
          <w:rFonts w:ascii="Times New Roman" w:hAnsi="Times New Roman" w:cs="Times New Roman"/>
          <w:b/>
          <w:bCs/>
          <w:i/>
          <w:iCs/>
          <w:sz w:val="24"/>
          <w:szCs w:val="24"/>
          <w:lang w:val="sq-AL"/>
        </w:rPr>
      </w:pPr>
      <w:r w:rsidRPr="007922E5">
        <w:rPr>
          <w:rFonts w:ascii="Times New Roman" w:hAnsi="Times New Roman" w:cs="Times New Roman"/>
          <w:sz w:val="24"/>
          <w:szCs w:val="24"/>
          <w:lang w:val="sq-AL"/>
        </w:rPr>
        <w:t xml:space="preserve">Reforma në drejtësi e vitit 2016 krijoi kuadrin ligjor dhe institucional për të garantuar pavarësinë dhe paanshmërinë e gjyqtarëve. Pavarësia e gjyqësorit garantohet me Kushtetutë. </w:t>
      </w:r>
      <w:r w:rsidRPr="00A67F9A">
        <w:rPr>
          <w:rFonts w:ascii="Times New Roman" w:hAnsi="Times New Roman" w:cs="Times New Roman"/>
          <w:i/>
          <w:iCs/>
          <w:sz w:val="24"/>
          <w:szCs w:val="24"/>
          <w:lang w:val="sq-AL"/>
        </w:rPr>
        <w:t xml:space="preserve">Megjithatë, shqetësimet vazhduan të ngriheshin rreth përpjekjeve për të ndërhyrë dhe ushtruar presion mbi sistemin gjyqësor. Trajnimi i magjistratëve duhet të mbetet i fokusuar tek integriteti dhe </w:t>
      </w:r>
      <w:r w:rsidR="00A67F9A">
        <w:rPr>
          <w:rFonts w:ascii="Times New Roman" w:hAnsi="Times New Roman" w:cs="Times New Roman"/>
          <w:i/>
          <w:iCs/>
          <w:sz w:val="24"/>
          <w:szCs w:val="24"/>
          <w:lang w:val="sq-AL"/>
        </w:rPr>
        <w:t>formimi baze/magjistratura</w:t>
      </w:r>
      <w:r w:rsidRPr="00A67F9A">
        <w:rPr>
          <w:rFonts w:ascii="Times New Roman" w:hAnsi="Times New Roman" w:cs="Times New Roman"/>
          <w:i/>
          <w:iCs/>
          <w:sz w:val="24"/>
          <w:szCs w:val="24"/>
          <w:lang w:val="sq-AL"/>
        </w:rPr>
        <w:t>.</w:t>
      </w:r>
      <w:r w:rsidRPr="007922E5">
        <w:rPr>
          <w:rFonts w:ascii="Times New Roman" w:hAnsi="Times New Roman" w:cs="Times New Roman"/>
          <w:sz w:val="24"/>
          <w:szCs w:val="24"/>
          <w:lang w:val="sq-AL"/>
        </w:rPr>
        <w:t xml:space="preserve"> </w:t>
      </w:r>
      <w:r w:rsidRPr="00A67F9A">
        <w:rPr>
          <w:rFonts w:ascii="Times New Roman" w:hAnsi="Times New Roman" w:cs="Times New Roman"/>
          <w:i/>
          <w:iCs/>
          <w:sz w:val="24"/>
          <w:szCs w:val="24"/>
          <w:lang w:val="sq-AL"/>
        </w:rPr>
        <w:t>Duhet të bëhet më shumë punë për të rritur ndërgjegjësimin për integritetin dhe pavarësinë e gjyqësorit në të gjitha nivelet</w:t>
      </w:r>
      <w:r w:rsidRPr="007922E5">
        <w:rPr>
          <w:rFonts w:ascii="Times New Roman" w:hAnsi="Times New Roman" w:cs="Times New Roman"/>
          <w:sz w:val="24"/>
          <w:szCs w:val="24"/>
          <w:lang w:val="sq-AL"/>
        </w:rPr>
        <w:t xml:space="preserve">. Ka dispozita ligjore për të garantuar procedura të pavarura për emërimin, promovimin, vlerësimin dhe shkarkimin e gjyqtarëve dhe prokurorëve, dhe për të siguruar që është e mundur të apelohen të gjitha vendimet përkatëse. Shpërblimi i gjyqtarëve dhe prokurorëve plotëson standardet më të larta të pagave publike për vendin. </w:t>
      </w:r>
      <w:r w:rsidRPr="00A67F9A">
        <w:rPr>
          <w:rFonts w:ascii="Times New Roman" w:hAnsi="Times New Roman" w:cs="Times New Roman"/>
          <w:b/>
          <w:bCs/>
          <w:i/>
          <w:iCs/>
          <w:sz w:val="24"/>
          <w:szCs w:val="24"/>
          <w:lang w:val="sq-AL"/>
        </w:rPr>
        <w:t>Megjithatë, mungesa e procedurave transparente për promovimin e prokurorëve mbetet një çështje prioritare.</w:t>
      </w:r>
    </w:p>
    <w:p w:rsidR="00C144D3" w:rsidRPr="00A67F9A" w:rsidRDefault="009E4A47" w:rsidP="00E31BC3">
      <w:pPr>
        <w:jc w:val="both"/>
        <w:rPr>
          <w:rFonts w:ascii="Times New Roman" w:hAnsi="Times New Roman" w:cs="Times New Roman"/>
          <w:i/>
          <w:iCs/>
          <w:sz w:val="24"/>
          <w:szCs w:val="24"/>
          <w:lang w:val="sq-AL"/>
        </w:rPr>
      </w:pPr>
      <w:r w:rsidRPr="009E4A47">
        <w:rPr>
          <w:rFonts w:ascii="Times New Roman" w:hAnsi="Times New Roman" w:cs="Times New Roman"/>
          <w:b/>
          <w:bCs/>
          <w:i/>
          <w:iCs/>
          <w:sz w:val="24"/>
          <w:szCs w:val="24"/>
          <w:lang w:val="sq-AL"/>
        </w:rPr>
        <w:lastRenderedPageBreak/>
        <w:t>Ngritja</w:t>
      </w:r>
      <w:r w:rsidR="00C144D3" w:rsidRPr="009E4A47">
        <w:rPr>
          <w:rFonts w:ascii="Times New Roman" w:hAnsi="Times New Roman" w:cs="Times New Roman"/>
          <w:b/>
          <w:bCs/>
          <w:i/>
          <w:iCs/>
          <w:sz w:val="24"/>
          <w:szCs w:val="24"/>
          <w:lang w:val="sq-AL"/>
        </w:rPr>
        <w:t xml:space="preserve"> e një Sistemi modern të Integruar të Menaxhimit të Çështjeve ka qenë në pritje për shumë vite dhe është i nevojshëm për të përmirësuar efikasitetin dhe transparencën e sistemit të drejtësisë.</w:t>
      </w:r>
      <w:r w:rsidR="00C144D3" w:rsidRPr="007922E5">
        <w:rPr>
          <w:rFonts w:ascii="Times New Roman" w:hAnsi="Times New Roman" w:cs="Times New Roman"/>
          <w:sz w:val="24"/>
          <w:szCs w:val="24"/>
          <w:lang w:val="sq-AL"/>
        </w:rPr>
        <w:t xml:space="preserve"> </w:t>
      </w:r>
      <w:r w:rsidR="00C144D3" w:rsidRPr="00A67F9A">
        <w:rPr>
          <w:rFonts w:ascii="Times New Roman" w:hAnsi="Times New Roman" w:cs="Times New Roman"/>
          <w:i/>
          <w:iCs/>
          <w:sz w:val="24"/>
          <w:szCs w:val="24"/>
          <w:lang w:val="sq-AL"/>
        </w:rPr>
        <w:t>Duke qenë se disa gjykata kanë shumë pak gjyqtarë dhe nuk përdoret Sistemi i Integruar i Menaxhimit të Çështjeve, shpërndarja e rastësishme e dosjeve nuk zbatohet gjerësisht.</w:t>
      </w:r>
    </w:p>
    <w:p w:rsidR="00C144D3" w:rsidRPr="00A67F9A"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Ushtrimi i ndikimit të padrejtë ndaj një gjyqtari ose prokuror është vepër penale. </w:t>
      </w:r>
      <w:r w:rsidRPr="00A67F9A">
        <w:rPr>
          <w:rFonts w:ascii="Times New Roman" w:hAnsi="Times New Roman" w:cs="Times New Roman"/>
          <w:i/>
          <w:iCs/>
          <w:sz w:val="24"/>
          <w:szCs w:val="24"/>
        </w:rPr>
        <w:t>Megjithatë, në praktikë nuk ka pasur raportime nga gjyqtarë apo prokurorë për përpjekje të tilla.</w:t>
      </w:r>
      <w:r w:rsidRPr="007922E5">
        <w:rPr>
          <w:rFonts w:ascii="Times New Roman" w:hAnsi="Times New Roman" w:cs="Times New Roman"/>
          <w:sz w:val="24"/>
          <w:szCs w:val="24"/>
        </w:rPr>
        <w:t xml:space="preserve"> </w:t>
      </w:r>
      <w:r w:rsidRPr="00A67F9A">
        <w:rPr>
          <w:rFonts w:ascii="Times New Roman" w:hAnsi="Times New Roman" w:cs="Times New Roman"/>
          <w:b/>
          <w:bCs/>
          <w:i/>
          <w:iCs/>
          <w:sz w:val="24"/>
          <w:szCs w:val="24"/>
        </w:rPr>
        <w:t>Nuk është marrë asnjë masë ndaj zyrtarëve publikë apo politikanëve që ngrenë akuza ndaj magjistratëve, por për t'i adresuar ato, institucionet e pavarura që drejtojnë sistemin e drejtësisë kanë reaguar në mënyrë proaktive ndaj këtyre akuzave publike, duke i klasifikuar ato si ndikim dhe presion të padrejtë.</w:t>
      </w:r>
    </w:p>
    <w:p w:rsidR="00C144D3" w:rsidRPr="00A67F9A" w:rsidRDefault="00C144D3" w:rsidP="00E31BC3">
      <w:pPr>
        <w:jc w:val="both"/>
        <w:rPr>
          <w:rFonts w:ascii="Times New Roman" w:hAnsi="Times New Roman" w:cs="Times New Roman"/>
          <w:b/>
          <w:bCs/>
          <w:sz w:val="24"/>
          <w:szCs w:val="24"/>
          <w:u w:val="single"/>
        </w:rPr>
      </w:pPr>
      <w:r w:rsidRPr="00A67F9A">
        <w:rPr>
          <w:rFonts w:ascii="Times New Roman" w:hAnsi="Times New Roman" w:cs="Times New Roman"/>
          <w:b/>
          <w:bCs/>
          <w:sz w:val="24"/>
          <w:szCs w:val="24"/>
          <w:u w:val="single"/>
        </w:rPr>
        <w:t>Llogaridhënia</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rPr>
        <w:t>Inspektori i Lartë i Drejtësisë (</w:t>
      </w:r>
      <w:r w:rsidR="00A67F9A">
        <w:rPr>
          <w:rFonts w:ascii="Times New Roman" w:hAnsi="Times New Roman" w:cs="Times New Roman"/>
          <w:sz w:val="24"/>
          <w:szCs w:val="24"/>
        </w:rPr>
        <w:t>ILD</w:t>
      </w:r>
      <w:r w:rsidRPr="007922E5">
        <w:rPr>
          <w:rFonts w:ascii="Times New Roman" w:hAnsi="Times New Roman" w:cs="Times New Roman"/>
          <w:sz w:val="24"/>
          <w:szCs w:val="24"/>
        </w:rPr>
        <w:t xml:space="preserve">) ka vazhduar të jetë plotësisht funksional, duke nisur dhe kryer hetime disiplinore ndaj magjistratëve. </w:t>
      </w:r>
      <w:r w:rsidRPr="00CC6DE0">
        <w:rPr>
          <w:rFonts w:ascii="Times New Roman" w:hAnsi="Times New Roman" w:cs="Times New Roman"/>
          <w:b/>
          <w:bCs/>
          <w:i/>
          <w:iCs/>
          <w:sz w:val="24"/>
          <w:szCs w:val="24"/>
        </w:rPr>
        <w:t xml:space="preserve">ILD-ja vazhdoi të kishte mungesë të personelit dhe nuk mundi të zvogëlonte ngarkesën e akumuluar, pavarësisht ndarjes së personelit dhe ambienteve shtesë dhe rritjes së buxhetit. Rekrutimi i inspektorëve shtesë dhe përmirësimi i kapaciteteve të </w:t>
      </w:r>
      <w:r w:rsidR="00A67F9A" w:rsidRPr="00CC6DE0">
        <w:rPr>
          <w:rFonts w:ascii="Times New Roman" w:hAnsi="Times New Roman" w:cs="Times New Roman"/>
          <w:b/>
          <w:bCs/>
          <w:i/>
          <w:iCs/>
          <w:sz w:val="24"/>
          <w:szCs w:val="24"/>
        </w:rPr>
        <w:t>ILD</w:t>
      </w:r>
      <w:r w:rsidRPr="00CC6DE0">
        <w:rPr>
          <w:rFonts w:ascii="Times New Roman" w:hAnsi="Times New Roman" w:cs="Times New Roman"/>
          <w:b/>
          <w:bCs/>
          <w:i/>
          <w:iCs/>
          <w:sz w:val="24"/>
          <w:szCs w:val="24"/>
        </w:rPr>
        <w:t>-së mbeten të nevojshme.</w:t>
      </w:r>
      <w:r w:rsidRPr="007922E5">
        <w:rPr>
          <w:rFonts w:ascii="Times New Roman" w:hAnsi="Times New Roman" w:cs="Times New Roman"/>
          <w:sz w:val="24"/>
          <w:szCs w:val="24"/>
        </w:rPr>
        <w:t xml:space="preserve"> Gjatë periudhës raportuese, </w:t>
      </w:r>
      <w:r w:rsidR="00A67F9A">
        <w:rPr>
          <w:rFonts w:ascii="Times New Roman" w:hAnsi="Times New Roman" w:cs="Times New Roman"/>
          <w:sz w:val="24"/>
          <w:szCs w:val="24"/>
        </w:rPr>
        <w:t>ILD</w:t>
      </w:r>
      <w:r w:rsidRPr="007922E5">
        <w:rPr>
          <w:rFonts w:ascii="Times New Roman" w:hAnsi="Times New Roman" w:cs="Times New Roman"/>
          <w:sz w:val="24"/>
          <w:szCs w:val="24"/>
        </w:rPr>
        <w:t xml:space="preserve"> ka marrë 1257 ankesa. Ajo ka trajtuar gjithsej 4124 ankesa dhe ka nisur 22 hetime, nga të cilat 17 kanë rezultuar me procedim disiplinor.</w:t>
      </w:r>
    </w:p>
    <w:p w:rsidR="00C144D3" w:rsidRPr="00CC6DE0"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Buxheti i KLGJ-së është rritur gradualisht dhe të gjitha procesverbalet e mbledhjeve dhe vendimeve po bëhen publike. </w:t>
      </w:r>
      <w:r w:rsidRPr="00CC6DE0">
        <w:rPr>
          <w:rFonts w:ascii="Times New Roman" w:hAnsi="Times New Roman" w:cs="Times New Roman"/>
          <w:b/>
          <w:bCs/>
          <w:i/>
          <w:iCs/>
          <w:sz w:val="24"/>
          <w:szCs w:val="24"/>
        </w:rPr>
        <w:t>Duhet të rritet kontakti me median dhe shpërndarja e materialeve për publikun për të informuar në mënyrë proaktive popullin për aktivitetet e KLGJ-së.</w:t>
      </w:r>
    </w:p>
    <w:p w:rsidR="00C144D3" w:rsidRPr="00CC6DE0" w:rsidRDefault="00C144D3" w:rsidP="00E31BC3">
      <w:pPr>
        <w:jc w:val="both"/>
        <w:rPr>
          <w:rFonts w:ascii="Times New Roman" w:hAnsi="Times New Roman" w:cs="Times New Roman"/>
          <w:i/>
          <w:iCs/>
          <w:sz w:val="24"/>
          <w:szCs w:val="24"/>
        </w:rPr>
      </w:pPr>
      <w:r w:rsidRPr="007922E5">
        <w:rPr>
          <w:rFonts w:ascii="Times New Roman" w:hAnsi="Times New Roman" w:cs="Times New Roman"/>
          <w:sz w:val="24"/>
          <w:szCs w:val="24"/>
        </w:rPr>
        <w:t xml:space="preserve">KLGJ ka bërë progres në vlerësimin e gjyqtarëve në të gjitha nivelet. Vlerësimet tani kryhen rregullisht dhe numri i vlerësimeve të mbetura po reduktohet në mënyrë të vazhdueshme. KLGJ pezulloi një gjyqtar në bazë të hetimeve të </w:t>
      </w:r>
      <w:r w:rsidR="00CC6DE0">
        <w:rPr>
          <w:rFonts w:ascii="Times New Roman" w:hAnsi="Times New Roman" w:cs="Times New Roman"/>
          <w:sz w:val="24"/>
          <w:szCs w:val="24"/>
        </w:rPr>
        <w:t>ILD</w:t>
      </w:r>
      <w:r w:rsidRPr="007922E5">
        <w:rPr>
          <w:rFonts w:ascii="Times New Roman" w:hAnsi="Times New Roman" w:cs="Times New Roman"/>
          <w:sz w:val="24"/>
          <w:szCs w:val="24"/>
        </w:rPr>
        <w:t xml:space="preserve">. </w:t>
      </w:r>
      <w:r w:rsidRPr="00CC6DE0">
        <w:rPr>
          <w:rFonts w:ascii="Times New Roman" w:hAnsi="Times New Roman" w:cs="Times New Roman"/>
          <w:b/>
          <w:bCs/>
          <w:i/>
          <w:iCs/>
          <w:sz w:val="24"/>
          <w:szCs w:val="24"/>
        </w:rPr>
        <w:t>KLP duhet të finalizojë me shpejtësi të gjithë legjislacionin e nevojshëm dytësor për vlerësimin e prokurorëve.</w:t>
      </w:r>
      <w:r w:rsidRPr="007922E5">
        <w:rPr>
          <w:rFonts w:ascii="Times New Roman" w:hAnsi="Times New Roman" w:cs="Times New Roman"/>
          <w:sz w:val="24"/>
          <w:szCs w:val="24"/>
        </w:rPr>
        <w:t xml:space="preserve"> </w:t>
      </w:r>
      <w:r w:rsidRPr="00CC6DE0">
        <w:rPr>
          <w:rFonts w:ascii="Times New Roman" w:hAnsi="Times New Roman" w:cs="Times New Roman"/>
          <w:b/>
          <w:bCs/>
          <w:sz w:val="24"/>
          <w:szCs w:val="24"/>
        </w:rPr>
        <w:t xml:space="preserve">Shumica e kërkesave të </w:t>
      </w:r>
      <w:r w:rsidR="00CC6DE0" w:rsidRPr="00CC6DE0">
        <w:rPr>
          <w:rFonts w:ascii="Times New Roman" w:hAnsi="Times New Roman" w:cs="Times New Roman"/>
          <w:b/>
          <w:bCs/>
          <w:sz w:val="24"/>
          <w:szCs w:val="24"/>
        </w:rPr>
        <w:t>ILD</w:t>
      </w:r>
      <w:r w:rsidRPr="00CC6DE0">
        <w:rPr>
          <w:rFonts w:ascii="Times New Roman" w:hAnsi="Times New Roman" w:cs="Times New Roman"/>
          <w:b/>
          <w:bCs/>
          <w:sz w:val="24"/>
          <w:szCs w:val="24"/>
        </w:rPr>
        <w:t xml:space="preserve"> për shkarkimin e prokurorëve u refuzuan nga KLP në vitin 2021. </w:t>
      </w:r>
      <w:r w:rsidRPr="00CC6DE0">
        <w:rPr>
          <w:rFonts w:ascii="Times New Roman" w:hAnsi="Times New Roman" w:cs="Times New Roman"/>
          <w:i/>
          <w:iCs/>
          <w:sz w:val="24"/>
          <w:szCs w:val="24"/>
        </w:rPr>
        <w:t>Bashkëpunimi i ngushtë mes institucioneve që drejtojnë sistemin e drejtësisë duhet të vazhdojë.</w:t>
      </w:r>
      <w:r w:rsidRPr="007922E5">
        <w:rPr>
          <w:rFonts w:ascii="Times New Roman" w:hAnsi="Times New Roman" w:cs="Times New Roman"/>
          <w:sz w:val="24"/>
          <w:szCs w:val="24"/>
        </w:rPr>
        <w:t xml:space="preserve"> KLGJ dhe KLP zhvilluan takimin e tyre të parë të përbashkët gjatë periudhës raportuese. </w:t>
      </w:r>
      <w:r w:rsidRPr="00CC6DE0">
        <w:rPr>
          <w:rFonts w:ascii="Times New Roman" w:hAnsi="Times New Roman" w:cs="Times New Roman"/>
          <w:i/>
          <w:iCs/>
          <w:sz w:val="24"/>
          <w:szCs w:val="24"/>
        </w:rPr>
        <w:t>Koordinimi në baza të rregullta është i nevojshëm.</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rPr>
        <w:t>KLGJ miratoi tre dokumente strategjike për hetimin administrativ të sinjalizuesve dhe shqyrtimin e rasteve të korrupsionit brenda KLGJ. KLP, KLGJ dhe KLGJ publikuan rregullisht vendimet dhe procesverbalet e mbledhjeve të tyre plenare.</w:t>
      </w:r>
    </w:p>
    <w:p w:rsidR="00C144D3" w:rsidRPr="00CC6DE0" w:rsidRDefault="00C144D3" w:rsidP="00E31BC3">
      <w:pPr>
        <w:jc w:val="both"/>
        <w:rPr>
          <w:rFonts w:ascii="Times New Roman" w:hAnsi="Times New Roman" w:cs="Times New Roman"/>
          <w:b/>
          <w:bCs/>
          <w:sz w:val="24"/>
          <w:szCs w:val="24"/>
          <w:u w:val="single"/>
        </w:rPr>
      </w:pPr>
      <w:r w:rsidRPr="00CC6DE0">
        <w:rPr>
          <w:rFonts w:ascii="Times New Roman" w:hAnsi="Times New Roman" w:cs="Times New Roman"/>
          <w:b/>
          <w:bCs/>
          <w:sz w:val="24"/>
          <w:szCs w:val="24"/>
          <w:u w:val="single"/>
        </w:rPr>
        <w:t>Profesionaliz</w:t>
      </w:r>
      <w:r w:rsidR="00CC6DE0">
        <w:rPr>
          <w:rFonts w:ascii="Times New Roman" w:hAnsi="Times New Roman" w:cs="Times New Roman"/>
          <w:b/>
          <w:bCs/>
          <w:sz w:val="24"/>
          <w:szCs w:val="24"/>
          <w:u w:val="single"/>
        </w:rPr>
        <w:t>mi</w:t>
      </w:r>
      <w:r w:rsidRPr="00CC6DE0">
        <w:rPr>
          <w:rFonts w:ascii="Times New Roman" w:hAnsi="Times New Roman" w:cs="Times New Roman"/>
          <w:b/>
          <w:bCs/>
          <w:sz w:val="24"/>
          <w:szCs w:val="24"/>
          <w:u w:val="single"/>
        </w:rPr>
        <w:t xml:space="preserve"> dhe kompetencë</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rPr>
        <w:t>Sistemi i rekrutimit, përzgjedhjes, emërimit, transferimit dhe shkarkimit të gjyqtarëve dhe prokurorëve menaxhohet ekskluzivisht nga institucionet vetëqeverisëse të gjyqësorit. Zbatimi i vazhdueshëm i reformës në drejtësi reduktoi më tej ndikimin politik gjatë gjithë procesit të emërimit, duke siguruar kështu një sistem karriere të bazuar në merita.</w:t>
      </w:r>
    </w:p>
    <w:p w:rsidR="00C144D3" w:rsidRPr="00CC6DE0"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lastRenderedPageBreak/>
        <w:t>Dy gjyqtarë të rinj u emëruan në Gjykatën Kushtetuese në mars dhe shtator 2022, duke e çuar numrin aktual të gjyqtarëve në detyrë në tetë nga nëntë, pesë prej të cilëve janë gra. Procesi i emërimit për postin e mbetur në Gjykatën Kushtetuese është duke u zhvilluar. Dispozitat ligjore në fuqi përcaktojnë kriteret për t'u bërë gjyqtar i Gjykatës Kushtetuese</w:t>
      </w:r>
      <w:r w:rsidRPr="00CC6DE0">
        <w:rPr>
          <w:rFonts w:ascii="Times New Roman" w:hAnsi="Times New Roman" w:cs="Times New Roman"/>
          <w:b/>
          <w:bCs/>
          <w:i/>
          <w:iCs/>
          <w:sz w:val="24"/>
          <w:szCs w:val="24"/>
        </w:rPr>
        <w:t>. Procesi i vlerësimit, përfshirë renditjen e kandidatëve duhet të jetë më transparent dhe të marrë parasysh rekomandimet e Komisionit të Venecias.</w:t>
      </w:r>
    </w:p>
    <w:p w:rsidR="00C144D3" w:rsidRPr="00CC6DE0" w:rsidRDefault="00C144D3" w:rsidP="00CC6DE0">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Numri i gjyqtarëve në Gjykatën e Lartë u rrit në 15, me gjashtë gjyqtarë të rinj të emëruar gjatë periudhës raportuese. Gjykata e Lartë tashmë mund të punojë në tre dhoma dhe të gjykojë të gjitha kategoritë e çështjeve. Është arritur edhe kuorumi për të bërë emërime në Gjykatën Kushtetuese, e cila bëri të mundur zvogëlimin e numrin të çeshtjeve të </w:t>
      </w:r>
      <w:r w:rsidR="00CC6DE0">
        <w:rPr>
          <w:rFonts w:ascii="Times New Roman" w:hAnsi="Times New Roman" w:cs="Times New Roman"/>
          <w:sz w:val="24"/>
          <w:szCs w:val="24"/>
        </w:rPr>
        <w:t>mbartura</w:t>
      </w:r>
      <w:r w:rsidRPr="007922E5">
        <w:rPr>
          <w:rFonts w:ascii="Times New Roman" w:hAnsi="Times New Roman" w:cs="Times New Roman"/>
          <w:sz w:val="24"/>
          <w:szCs w:val="24"/>
        </w:rPr>
        <w:t xml:space="preserve">. </w:t>
      </w:r>
      <w:r w:rsidRPr="00CC6DE0">
        <w:rPr>
          <w:rFonts w:ascii="Times New Roman" w:hAnsi="Times New Roman" w:cs="Times New Roman"/>
          <w:b/>
          <w:bCs/>
          <w:i/>
          <w:iCs/>
          <w:sz w:val="24"/>
          <w:szCs w:val="24"/>
        </w:rPr>
        <w:t xml:space="preserve">Megjithatë, kjo ngarkesë mbetet shumë e lartë dhe nevojiten më shumë gjyqtarë dhe këshilltarë ligjorë për të ndihmuar në uljen e mëtejshme të çeshtjeve të </w:t>
      </w:r>
      <w:r w:rsidR="00CC6DE0">
        <w:rPr>
          <w:rFonts w:ascii="Times New Roman" w:hAnsi="Times New Roman" w:cs="Times New Roman"/>
          <w:b/>
          <w:bCs/>
          <w:i/>
          <w:iCs/>
          <w:sz w:val="24"/>
          <w:szCs w:val="24"/>
        </w:rPr>
        <w:t>mbartura</w:t>
      </w:r>
      <w:r w:rsidRPr="00CC6DE0">
        <w:rPr>
          <w:rFonts w:ascii="Times New Roman" w:hAnsi="Times New Roman" w:cs="Times New Roman"/>
          <w:b/>
          <w:bCs/>
          <w:i/>
          <w:iCs/>
          <w:sz w:val="24"/>
          <w:szCs w:val="24"/>
        </w:rPr>
        <w:t>.</w:t>
      </w:r>
    </w:p>
    <w:p w:rsidR="00C144D3" w:rsidRPr="00CC6DE0" w:rsidRDefault="00C144D3" w:rsidP="00E31BC3">
      <w:pPr>
        <w:jc w:val="both"/>
        <w:rPr>
          <w:rFonts w:ascii="Times New Roman" w:hAnsi="Times New Roman" w:cs="Times New Roman"/>
          <w:b/>
          <w:bCs/>
          <w:sz w:val="24"/>
          <w:szCs w:val="24"/>
          <w:u w:val="single"/>
        </w:rPr>
      </w:pPr>
      <w:r w:rsidRPr="00CC6DE0">
        <w:rPr>
          <w:rFonts w:ascii="Times New Roman" w:hAnsi="Times New Roman" w:cs="Times New Roman"/>
          <w:b/>
          <w:bCs/>
          <w:sz w:val="24"/>
          <w:szCs w:val="24"/>
          <w:u w:val="single"/>
        </w:rPr>
        <w:t>Cilësia e drejtësisë</w:t>
      </w:r>
    </w:p>
    <w:p w:rsidR="00C144D3" w:rsidRPr="00CC6DE0" w:rsidRDefault="00C144D3" w:rsidP="00E31BC3">
      <w:pPr>
        <w:jc w:val="both"/>
        <w:rPr>
          <w:rFonts w:ascii="Times New Roman" w:hAnsi="Times New Roman" w:cs="Times New Roman"/>
          <w:b/>
          <w:bCs/>
          <w:i/>
          <w:iCs/>
          <w:sz w:val="24"/>
          <w:szCs w:val="24"/>
        </w:rPr>
      </w:pPr>
      <w:r w:rsidRPr="00CC6DE0">
        <w:rPr>
          <w:rFonts w:ascii="Times New Roman" w:hAnsi="Times New Roman" w:cs="Times New Roman"/>
          <w:b/>
          <w:bCs/>
          <w:i/>
          <w:iCs/>
          <w:sz w:val="24"/>
          <w:szCs w:val="24"/>
        </w:rPr>
        <w:t>Cilësia e trajnimit fillestar dhe të vazhdueshëm në Shkollën e Magjistraturës (S</w:t>
      </w:r>
      <w:r w:rsidR="00CC6DE0">
        <w:rPr>
          <w:rFonts w:ascii="Times New Roman" w:hAnsi="Times New Roman" w:cs="Times New Roman"/>
          <w:b/>
          <w:bCs/>
          <w:i/>
          <w:iCs/>
          <w:sz w:val="24"/>
          <w:szCs w:val="24"/>
        </w:rPr>
        <w:t>h</w:t>
      </w:r>
      <w:r w:rsidRPr="00CC6DE0">
        <w:rPr>
          <w:rFonts w:ascii="Times New Roman" w:hAnsi="Times New Roman" w:cs="Times New Roman"/>
          <w:b/>
          <w:bCs/>
          <w:i/>
          <w:iCs/>
          <w:sz w:val="24"/>
          <w:szCs w:val="24"/>
        </w:rPr>
        <w:t>M) kërkon përmirësim dhe nevojitet një rritje e mëtejshme e grupeve të studentëve</w:t>
      </w:r>
      <w:r w:rsidRPr="007922E5">
        <w:rPr>
          <w:rFonts w:ascii="Times New Roman" w:hAnsi="Times New Roman" w:cs="Times New Roman"/>
          <w:sz w:val="24"/>
          <w:szCs w:val="24"/>
        </w:rPr>
        <w:t xml:space="preserve">, dhe për rrjedhojë të diplomuarve, si pasojë e vazhdimit të shkarkimeve që vijnë nga procesi i vettingut. KLP dhe KLGJ në bashkëpunim me </w:t>
      </w:r>
      <w:r w:rsidR="00CC6DE0">
        <w:rPr>
          <w:rFonts w:ascii="Times New Roman" w:hAnsi="Times New Roman" w:cs="Times New Roman"/>
          <w:sz w:val="24"/>
          <w:szCs w:val="24"/>
        </w:rPr>
        <w:t>ShM</w:t>
      </w:r>
      <w:r w:rsidRPr="007922E5">
        <w:rPr>
          <w:rFonts w:ascii="Times New Roman" w:hAnsi="Times New Roman" w:cs="Times New Roman"/>
          <w:sz w:val="24"/>
          <w:szCs w:val="24"/>
        </w:rPr>
        <w:t xml:space="preserve"> miratuan kalendarin e trajnimeve për vitin akademik 2022-2023. Për vitin akademik 2022-2023, numri i studentëve të rinj është rritur vetëm me 20 persona krahasuar me periudhën e mëparshme, </w:t>
      </w:r>
      <w:r w:rsidRPr="00CC6DE0">
        <w:rPr>
          <w:rFonts w:ascii="Times New Roman" w:hAnsi="Times New Roman" w:cs="Times New Roman"/>
          <w:b/>
          <w:bCs/>
          <w:sz w:val="24"/>
          <w:szCs w:val="24"/>
        </w:rPr>
        <w:t>gjë që duket e pamjaftueshme krahasuar me numrin e vendeve vakante në sektorin e drejtësisë.</w:t>
      </w:r>
      <w:r w:rsidRPr="007922E5">
        <w:rPr>
          <w:rFonts w:ascii="Times New Roman" w:hAnsi="Times New Roman" w:cs="Times New Roman"/>
          <w:sz w:val="24"/>
          <w:szCs w:val="24"/>
        </w:rPr>
        <w:t xml:space="preserve"> </w:t>
      </w:r>
      <w:r w:rsidRPr="00CC6DE0">
        <w:rPr>
          <w:rFonts w:ascii="Times New Roman" w:hAnsi="Times New Roman" w:cs="Times New Roman"/>
          <w:b/>
          <w:bCs/>
          <w:i/>
          <w:iCs/>
          <w:sz w:val="24"/>
          <w:szCs w:val="24"/>
        </w:rPr>
        <w:t>S</w:t>
      </w:r>
      <w:r w:rsidR="00CC6DE0" w:rsidRPr="00CC6DE0">
        <w:rPr>
          <w:rFonts w:ascii="Times New Roman" w:hAnsi="Times New Roman" w:cs="Times New Roman"/>
          <w:b/>
          <w:bCs/>
          <w:i/>
          <w:iCs/>
          <w:sz w:val="24"/>
          <w:szCs w:val="24"/>
        </w:rPr>
        <w:t>h</w:t>
      </w:r>
      <w:r w:rsidRPr="00CC6DE0">
        <w:rPr>
          <w:rFonts w:ascii="Times New Roman" w:hAnsi="Times New Roman" w:cs="Times New Roman"/>
          <w:b/>
          <w:bCs/>
          <w:i/>
          <w:iCs/>
          <w:sz w:val="24"/>
          <w:szCs w:val="24"/>
        </w:rPr>
        <w:t>M duhet të intensifikojë përpjekjet e saj për të forcuar stafin e saj akademik dhe për të siguruar procedura konkurruese dhe transparente të rekrutimit.</w:t>
      </w:r>
      <w:r w:rsidRPr="007922E5">
        <w:rPr>
          <w:rFonts w:ascii="Times New Roman" w:hAnsi="Times New Roman" w:cs="Times New Roman"/>
          <w:sz w:val="24"/>
          <w:szCs w:val="24"/>
        </w:rPr>
        <w:t xml:space="preserve"> Vlerësimi periodik i gjyqtarëve dhe prokurorëve merr parasysh trajnimin e vazhdueshëm të gjyqtarëve dhe prokurorëve dhe përfshin vlerësimet e dhëna nga S</w:t>
      </w:r>
      <w:r w:rsidR="00CC6DE0">
        <w:rPr>
          <w:rFonts w:ascii="Times New Roman" w:hAnsi="Times New Roman" w:cs="Times New Roman"/>
          <w:sz w:val="24"/>
          <w:szCs w:val="24"/>
        </w:rPr>
        <w:t>h</w:t>
      </w:r>
      <w:r w:rsidRPr="007922E5">
        <w:rPr>
          <w:rFonts w:ascii="Times New Roman" w:hAnsi="Times New Roman" w:cs="Times New Roman"/>
          <w:sz w:val="24"/>
          <w:szCs w:val="24"/>
        </w:rPr>
        <w:t xml:space="preserve">M. </w:t>
      </w:r>
      <w:r w:rsidRPr="00CC6DE0">
        <w:rPr>
          <w:rFonts w:ascii="Times New Roman" w:hAnsi="Times New Roman" w:cs="Times New Roman"/>
          <w:i/>
          <w:iCs/>
          <w:sz w:val="24"/>
          <w:szCs w:val="24"/>
        </w:rPr>
        <w:t>Trajnimi i vazhdueshëm duhet të përmirësojë metodologjinë e tij dhe të fokusohet më shumë në nevojat e përditshme si dhe në studimet e rasteve për gjyqtarët dhe prokurorët. Nga ana tjetër, trajnimi fillestar kërkon një rishikim thelbësor, në përputhje me objektivin e trajnimit të gjyqtarëve të specializuar në fusha të ndryshme të së drejtës, duke rritur njëkohësisht fokusin e tij praktik, veçanërisht me kurset për shkrimin dhe arsyetimin ligjor</w:t>
      </w:r>
      <w:r w:rsidRPr="007922E5">
        <w:rPr>
          <w:rFonts w:ascii="Times New Roman" w:hAnsi="Times New Roman" w:cs="Times New Roman"/>
          <w:sz w:val="24"/>
          <w:szCs w:val="24"/>
        </w:rPr>
        <w:t>. Buxheti i përgjithshëm i alokuar për iniciativat e trajnimit në S</w:t>
      </w:r>
      <w:r w:rsidR="00CC6DE0">
        <w:rPr>
          <w:rFonts w:ascii="Times New Roman" w:hAnsi="Times New Roman" w:cs="Times New Roman"/>
          <w:sz w:val="24"/>
          <w:szCs w:val="24"/>
        </w:rPr>
        <w:t>h</w:t>
      </w:r>
      <w:r w:rsidRPr="007922E5">
        <w:rPr>
          <w:rFonts w:ascii="Times New Roman" w:hAnsi="Times New Roman" w:cs="Times New Roman"/>
          <w:sz w:val="24"/>
          <w:szCs w:val="24"/>
        </w:rPr>
        <w:t xml:space="preserve">M në vitin 2021 arriti në 2,101,845 euro, një rritje prej 27% krahasuar me një vit më parë. </w:t>
      </w:r>
      <w:r w:rsidRPr="00CC6DE0">
        <w:rPr>
          <w:rFonts w:ascii="Times New Roman" w:hAnsi="Times New Roman" w:cs="Times New Roman"/>
          <w:b/>
          <w:bCs/>
          <w:i/>
          <w:iCs/>
          <w:sz w:val="24"/>
          <w:szCs w:val="24"/>
        </w:rPr>
        <w:t>S</w:t>
      </w:r>
      <w:r w:rsidR="00CC6DE0" w:rsidRPr="00CC6DE0">
        <w:rPr>
          <w:rFonts w:ascii="Times New Roman" w:hAnsi="Times New Roman" w:cs="Times New Roman"/>
          <w:b/>
          <w:bCs/>
          <w:i/>
          <w:iCs/>
          <w:sz w:val="24"/>
          <w:szCs w:val="24"/>
        </w:rPr>
        <w:t>h</w:t>
      </w:r>
      <w:r w:rsidRPr="00CC6DE0">
        <w:rPr>
          <w:rFonts w:ascii="Times New Roman" w:hAnsi="Times New Roman" w:cs="Times New Roman"/>
          <w:b/>
          <w:bCs/>
          <w:i/>
          <w:iCs/>
          <w:sz w:val="24"/>
          <w:szCs w:val="24"/>
        </w:rPr>
        <w:t>M duhet të koordinojë ndihmën nga donatorët dhe OSHC-të në mënyrë më proaktive</w:t>
      </w:r>
      <w:r w:rsidRPr="007922E5">
        <w:rPr>
          <w:rFonts w:ascii="Times New Roman" w:hAnsi="Times New Roman" w:cs="Times New Roman"/>
          <w:sz w:val="24"/>
          <w:szCs w:val="24"/>
        </w:rPr>
        <w:t xml:space="preserve">. Si vëzhgues i Rrjetit Evropian të Trajnimit Gjyqësor (EJTN), </w:t>
      </w:r>
      <w:r w:rsidR="00CC6DE0" w:rsidRPr="00CC6DE0">
        <w:rPr>
          <w:rFonts w:ascii="Times New Roman" w:hAnsi="Times New Roman" w:cs="Times New Roman"/>
          <w:b/>
          <w:bCs/>
          <w:i/>
          <w:iCs/>
          <w:sz w:val="24"/>
          <w:szCs w:val="24"/>
        </w:rPr>
        <w:t>ajo</w:t>
      </w:r>
      <w:r w:rsidRPr="00CC6DE0">
        <w:rPr>
          <w:rFonts w:ascii="Times New Roman" w:hAnsi="Times New Roman" w:cs="Times New Roman"/>
          <w:b/>
          <w:bCs/>
          <w:i/>
          <w:iCs/>
          <w:sz w:val="24"/>
          <w:szCs w:val="24"/>
        </w:rPr>
        <w:t xml:space="preserve"> duhet të përfitojë në mënyrë më proaktive nga aktivitetet e EJTN-ve dhe ekspertiza brenda rrjetit.</w:t>
      </w:r>
    </w:p>
    <w:p w:rsidR="00C144D3" w:rsidRPr="00CC6DE0"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Shqipëria kishte 307 pozicione gjyqtari me kohë të plotë (10.8 për 100,000 banorë) dhe 300 pozicione prokurori me kohë të plotë (10,5 për 100,000 banorë) në vitin 2021. Sipas Komisionit Evropian për Efikasitetin e Drejtësisë (CEPEJ), mesatarja evropiane është 21 gjyqtarë dhe 12 prokurorë për 100 000 banorë. Ndarja buxhetore e vitit 2021 për sistemin gjyqësor ishte rreth 40 milionë euro. Kjo është 14.5 euro për banor. </w:t>
      </w:r>
      <w:r w:rsidRPr="00CC6DE0">
        <w:rPr>
          <w:rFonts w:ascii="Times New Roman" w:hAnsi="Times New Roman" w:cs="Times New Roman"/>
          <w:b/>
          <w:bCs/>
          <w:i/>
          <w:iCs/>
          <w:sz w:val="24"/>
          <w:szCs w:val="24"/>
        </w:rPr>
        <w:t>Infrastruktura e gjykatave mbetet përgjithësisht e dobët dhe alokimet e ardhshme buxhetore duhet të trajtojnë me vendosmëri më të madhe nevojat urgjente të institucioneve gjyqësore.</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rPr>
        <w:lastRenderedPageBreak/>
        <w:t>Aktiviteti i gjykatave monitorohet nëpërmjet raportimit tremujor të gjykatave dhe të dhënat bëhen publike në raportet vjetore të KLP dhe KLGJ.</w:t>
      </w:r>
    </w:p>
    <w:p w:rsidR="00C144D3" w:rsidRPr="00CC6DE0" w:rsidRDefault="00C144D3" w:rsidP="00E31BC3">
      <w:pPr>
        <w:jc w:val="both"/>
        <w:rPr>
          <w:rFonts w:ascii="Times New Roman" w:hAnsi="Times New Roman" w:cs="Times New Roman"/>
          <w:i/>
          <w:iCs/>
          <w:sz w:val="24"/>
          <w:szCs w:val="24"/>
        </w:rPr>
      </w:pPr>
      <w:r w:rsidRPr="00CC6DE0">
        <w:rPr>
          <w:rFonts w:ascii="Times New Roman" w:hAnsi="Times New Roman" w:cs="Times New Roman"/>
          <w:i/>
          <w:iCs/>
          <w:sz w:val="24"/>
          <w:szCs w:val="24"/>
        </w:rPr>
        <w:t>Zgjidhja alternative e mosmarrëveshjeve vazhdon të jetë e kufizuar dhe duhet të përforcohet më tej. Ndërgjegjësimi i qytetarëve për shërbimin alternativ për zgjidhjen e mosmarrëveshjeve është i ulët dhe duhet përmirësuar.</w:t>
      </w:r>
    </w:p>
    <w:p w:rsidR="00C144D3" w:rsidRPr="00570E8F" w:rsidRDefault="00C144D3" w:rsidP="00E31BC3">
      <w:pPr>
        <w:jc w:val="both"/>
        <w:rPr>
          <w:rFonts w:ascii="Times New Roman" w:hAnsi="Times New Roman" w:cs="Times New Roman"/>
          <w:b/>
          <w:bCs/>
          <w:sz w:val="24"/>
          <w:szCs w:val="24"/>
          <w:u w:val="single"/>
        </w:rPr>
      </w:pPr>
      <w:r w:rsidRPr="00570E8F">
        <w:rPr>
          <w:rFonts w:ascii="Times New Roman" w:hAnsi="Times New Roman" w:cs="Times New Roman"/>
          <w:b/>
          <w:bCs/>
          <w:sz w:val="24"/>
          <w:szCs w:val="24"/>
          <w:u w:val="single"/>
        </w:rPr>
        <w:t>Efikasiteti</w:t>
      </w:r>
    </w:p>
    <w:p w:rsidR="00C144D3" w:rsidRPr="00570E8F" w:rsidRDefault="00C144D3" w:rsidP="00E31BC3">
      <w:pPr>
        <w:jc w:val="both"/>
        <w:rPr>
          <w:rFonts w:ascii="Times New Roman" w:hAnsi="Times New Roman" w:cs="Times New Roman"/>
          <w:b/>
          <w:bCs/>
          <w:sz w:val="24"/>
          <w:szCs w:val="24"/>
        </w:rPr>
      </w:pPr>
      <w:r w:rsidRPr="00570E8F">
        <w:rPr>
          <w:rFonts w:ascii="Times New Roman" w:hAnsi="Times New Roman" w:cs="Times New Roman"/>
          <w:b/>
          <w:bCs/>
          <w:sz w:val="24"/>
          <w:szCs w:val="24"/>
        </w:rPr>
        <w:t>Kohëzgjatja e procedurave, shkalla e ulët e mbylljes së çështjeve dhe numri i madh i çështjeve të pazgjidhura vazhdojnë të ndikojnë në efikasitetin e sistemit gjyqësor.</w:t>
      </w:r>
    </w:p>
    <w:p w:rsidR="00C144D3" w:rsidRPr="007922E5" w:rsidRDefault="00C144D3" w:rsidP="00E31BC3">
      <w:pPr>
        <w:jc w:val="both"/>
        <w:rPr>
          <w:rFonts w:ascii="Times New Roman" w:hAnsi="Times New Roman" w:cs="Times New Roman"/>
          <w:sz w:val="24"/>
          <w:szCs w:val="24"/>
        </w:rPr>
      </w:pPr>
      <w:r w:rsidRPr="00570E8F">
        <w:rPr>
          <w:rFonts w:ascii="Times New Roman" w:hAnsi="Times New Roman" w:cs="Times New Roman"/>
          <w:b/>
          <w:bCs/>
          <w:i/>
          <w:iCs/>
          <w:sz w:val="24"/>
          <w:szCs w:val="24"/>
        </w:rPr>
        <w:t>Gjykatat e apelit vazhdojnë të kenë një numër të lartë çështjesh të prapambetura dhe preken nga numri i lartë i vendeve vakante të gjyqtarëve</w:t>
      </w:r>
      <w:r w:rsidRPr="007922E5">
        <w:rPr>
          <w:rFonts w:ascii="Times New Roman" w:hAnsi="Times New Roman" w:cs="Times New Roman"/>
          <w:sz w:val="24"/>
          <w:szCs w:val="24"/>
        </w:rPr>
        <w:t xml:space="preserve">, me vetëm 30 nga 78 gjyqtarë të Apelit në detyrë. Shqipëria miratoi një hartë të re gjyqësore sipas kërkesave ligjore, pas një procesi konsultimi dhe mbështetjes nga ekspertë ndërkombëtarë, duke përfshirë financimin e BE-së. Harta e re gjyqësore synon të rishpërndajë çështjet e prapambetura ndërmjet gjykatave në mënyrë më të drejtë duke rialokuar gjyqtarët dhe gjykatat në zonat me numrin më të lartë të çështjeve të prapambetura. Gjithashtu, synon të krijojë mundësinë për më shumë specializim të gjyqtarëve në fusha të veçanta të ligjit për të përmirësuar cilësinë. </w:t>
      </w:r>
      <w:r w:rsidRPr="00570E8F">
        <w:rPr>
          <w:rFonts w:ascii="Times New Roman" w:hAnsi="Times New Roman" w:cs="Times New Roman"/>
          <w:b/>
          <w:bCs/>
          <w:i/>
          <w:iCs/>
          <w:sz w:val="24"/>
          <w:szCs w:val="24"/>
        </w:rPr>
        <w:t>Do të nevojitet një plan solid zbatimi për hartën e re gjyqësore</w:t>
      </w:r>
      <w:r w:rsidRPr="007922E5">
        <w:rPr>
          <w:rFonts w:ascii="Times New Roman" w:hAnsi="Times New Roman" w:cs="Times New Roman"/>
          <w:sz w:val="24"/>
          <w:szCs w:val="24"/>
        </w:rPr>
        <w:t xml:space="preserve">. Kohëzgjatja mesatare për një çështje në </w:t>
      </w:r>
      <w:r w:rsidRPr="00570E8F">
        <w:rPr>
          <w:rFonts w:ascii="Times New Roman" w:hAnsi="Times New Roman" w:cs="Times New Roman"/>
          <w:b/>
          <w:bCs/>
          <w:i/>
          <w:iCs/>
          <w:sz w:val="24"/>
          <w:szCs w:val="24"/>
        </w:rPr>
        <w:t>nivelin e apelit është 893 ditë</w:t>
      </w:r>
      <w:r w:rsidRPr="007922E5">
        <w:rPr>
          <w:rFonts w:ascii="Times New Roman" w:hAnsi="Times New Roman" w:cs="Times New Roman"/>
          <w:sz w:val="24"/>
          <w:szCs w:val="24"/>
        </w:rPr>
        <w:t xml:space="preserve">. Megjithatë, në Gjykatën e Apelit Tiranë, kohëzgjatja mesatare për një çështje penale është </w:t>
      </w:r>
      <w:r w:rsidRPr="00570E8F">
        <w:rPr>
          <w:rFonts w:ascii="Times New Roman" w:hAnsi="Times New Roman" w:cs="Times New Roman"/>
          <w:b/>
          <w:bCs/>
          <w:i/>
          <w:iCs/>
          <w:sz w:val="24"/>
          <w:szCs w:val="24"/>
        </w:rPr>
        <w:t>5820</w:t>
      </w:r>
      <w:r w:rsidRPr="007922E5">
        <w:rPr>
          <w:rFonts w:ascii="Times New Roman" w:hAnsi="Times New Roman" w:cs="Times New Roman"/>
          <w:sz w:val="24"/>
          <w:szCs w:val="24"/>
        </w:rPr>
        <w:t xml:space="preserve"> ditë.</w:t>
      </w:r>
    </w:p>
    <w:p w:rsidR="00C144D3" w:rsidRPr="00570E8F" w:rsidRDefault="00C144D3" w:rsidP="00E31BC3">
      <w:pPr>
        <w:jc w:val="both"/>
        <w:rPr>
          <w:rFonts w:ascii="Times New Roman" w:hAnsi="Times New Roman" w:cs="Times New Roman"/>
          <w:b/>
          <w:bCs/>
          <w:i/>
          <w:iCs/>
          <w:sz w:val="24"/>
          <w:szCs w:val="24"/>
        </w:rPr>
      </w:pPr>
      <w:r w:rsidRPr="00570E8F">
        <w:rPr>
          <w:rFonts w:ascii="Times New Roman" w:hAnsi="Times New Roman" w:cs="Times New Roman"/>
          <w:b/>
          <w:bCs/>
          <w:i/>
          <w:iCs/>
          <w:sz w:val="24"/>
          <w:szCs w:val="24"/>
        </w:rPr>
        <w:t>Gjykatat me numrin më të lartë të çështjeve të prapambetura janë Gjykata e Lartë, Gjykata e Rrethit Tiranë dhe Gjykata Administrative e Apelit</w:t>
      </w:r>
      <w:r w:rsidRPr="007922E5">
        <w:rPr>
          <w:rFonts w:ascii="Times New Roman" w:hAnsi="Times New Roman" w:cs="Times New Roman"/>
          <w:sz w:val="24"/>
          <w:szCs w:val="24"/>
        </w:rPr>
        <w:t>. Kjo e fundit ka 18415 raste, nga të cilat 9938 janë më të vjetra se dy vjet. Gjykata e Lartë ka numrin më të madh të çështjeve të prapambetura me mbi 35822 çështje, nga të cilat 27 843 janë më të vjetra se dy vjet (77%). Megjithatë, pas emërimeve të reja në Gjykatën e Lartë, shkalla e përmbylljes së cështjeve është rritur ndjeshëm në 117% për rastet penale dhe 193% për rastet administrative.</w:t>
      </w:r>
      <w:r w:rsidR="008641B4">
        <w:rPr>
          <w:rFonts w:ascii="Times New Roman" w:hAnsi="Times New Roman" w:cs="Times New Roman"/>
          <w:sz w:val="24"/>
          <w:szCs w:val="24"/>
        </w:rPr>
        <w:t xml:space="preserve"> </w:t>
      </w:r>
      <w:r w:rsidRPr="00570E8F">
        <w:rPr>
          <w:rFonts w:ascii="Times New Roman" w:hAnsi="Times New Roman" w:cs="Times New Roman"/>
          <w:b/>
          <w:bCs/>
          <w:i/>
          <w:iCs/>
          <w:sz w:val="24"/>
          <w:szCs w:val="24"/>
        </w:rPr>
        <w:t>Rekrutimi i ekspertëve të rinj administrativë dhe ligjorë, përmirësimi i metodave të punës dhe rritja e komunikimit dhe transparencës mbeten detyra kryesore.</w:t>
      </w:r>
    </w:p>
    <w:p w:rsidR="00C144D3" w:rsidRPr="00570E8F" w:rsidRDefault="00C144D3" w:rsidP="00E31BC3">
      <w:pPr>
        <w:jc w:val="both"/>
        <w:rPr>
          <w:rFonts w:ascii="Times New Roman" w:hAnsi="Times New Roman" w:cs="Times New Roman"/>
          <w:b/>
          <w:bCs/>
          <w:i/>
          <w:iCs/>
          <w:sz w:val="24"/>
          <w:szCs w:val="24"/>
        </w:rPr>
      </w:pPr>
      <w:r w:rsidRPr="00570E8F">
        <w:rPr>
          <w:rFonts w:ascii="Times New Roman" w:hAnsi="Times New Roman" w:cs="Times New Roman"/>
          <w:b/>
          <w:bCs/>
          <w:i/>
          <w:iCs/>
          <w:sz w:val="24"/>
          <w:szCs w:val="24"/>
        </w:rPr>
        <w:t xml:space="preserve">Kërkohen përpjekje të mëtejshme për të përmirësuar mbledhjen dhe raportimin e të dhënave statistikore gjyqësore. Është </w:t>
      </w:r>
      <w:r w:rsidRPr="00570E8F">
        <w:rPr>
          <w:rFonts w:ascii="Times New Roman" w:hAnsi="Times New Roman" w:cs="Times New Roman"/>
          <w:b/>
          <w:bCs/>
          <w:i/>
          <w:iCs/>
          <w:sz w:val="24"/>
          <w:szCs w:val="24"/>
          <w:u w:val="single"/>
        </w:rPr>
        <w:t xml:space="preserve">urgjente </w:t>
      </w:r>
      <w:r w:rsidRPr="00570E8F">
        <w:rPr>
          <w:rFonts w:ascii="Times New Roman" w:hAnsi="Times New Roman" w:cs="Times New Roman"/>
          <w:b/>
          <w:bCs/>
          <w:i/>
          <w:iCs/>
          <w:sz w:val="24"/>
          <w:szCs w:val="24"/>
        </w:rPr>
        <w:t>të ngrihet një Sistem i ri i Integruar i Menaxhimit të Çështjeve përmes përpjekjeve të përcaktuara të politikave, planifikimit dhe buxhetit dhe të sigurohet ndërveprueshmëria e tij në të gjithë sistemin e drejtësisë, në përputhje me metodologjinë e CEPEJ.</w:t>
      </w:r>
    </w:p>
    <w:p w:rsidR="00C144D3" w:rsidRPr="005315D0" w:rsidRDefault="00C144D3"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Progresi i KLGJ-së </w:t>
      </w:r>
      <w:r w:rsidR="00033519" w:rsidRPr="007922E5">
        <w:rPr>
          <w:rFonts w:ascii="Times New Roman" w:hAnsi="Times New Roman" w:cs="Times New Roman"/>
          <w:sz w:val="24"/>
          <w:szCs w:val="24"/>
        </w:rPr>
        <w:t xml:space="preserve">në matjen e efikasitetit të gjykatave </w:t>
      </w:r>
      <w:r w:rsidRPr="007922E5">
        <w:rPr>
          <w:rFonts w:ascii="Times New Roman" w:hAnsi="Times New Roman" w:cs="Times New Roman"/>
          <w:sz w:val="24"/>
          <w:szCs w:val="24"/>
        </w:rPr>
        <w:t xml:space="preserve">ka vijuar nëpërmjet miratimit të rregullores së nevojshme dhe grafikëve statistikorë për vlerësimin e performancës së magjistratëve bazuar në treguesit e CEPEJ. KLGJ miratoi rregulla të reja për anketat e matjes së nivelit të kënaqësisë si një mjet për të monitoruar performancën në të gjitha gjykatat. </w:t>
      </w:r>
      <w:r w:rsidRPr="005315D0">
        <w:rPr>
          <w:rFonts w:ascii="Times New Roman" w:hAnsi="Times New Roman" w:cs="Times New Roman"/>
          <w:b/>
          <w:bCs/>
          <w:i/>
          <w:iCs/>
          <w:sz w:val="24"/>
          <w:szCs w:val="24"/>
        </w:rPr>
        <w:t>Më shumë rregulla dhe tregues për efikasitetin duhet të miratohen menjëherë nga KLGJ.</w:t>
      </w:r>
    </w:p>
    <w:p w:rsidR="00C144D3" w:rsidRPr="007922E5" w:rsidRDefault="00C144D3" w:rsidP="00E31BC3">
      <w:pPr>
        <w:jc w:val="both"/>
        <w:rPr>
          <w:rFonts w:ascii="Times New Roman" w:hAnsi="Times New Roman" w:cs="Times New Roman"/>
          <w:sz w:val="24"/>
          <w:szCs w:val="24"/>
        </w:rPr>
      </w:pPr>
      <w:r w:rsidRPr="007922E5">
        <w:rPr>
          <w:rFonts w:ascii="Times New Roman" w:hAnsi="Times New Roman" w:cs="Times New Roman"/>
          <w:sz w:val="24"/>
          <w:szCs w:val="24"/>
        </w:rPr>
        <w:t>Janë 18 çështje në pritje pranë Komitetit të Ministrave të Këshillit të Evropës për mbikëqyrjen e ekzekutimit të vendimeve përfundimtare të Gjykatës Evropiane të të Drejtave të Njeriut.</w:t>
      </w:r>
    </w:p>
    <w:p w:rsidR="00C144D3" w:rsidRDefault="00C144D3" w:rsidP="00D01F89">
      <w:pPr>
        <w:jc w:val="both"/>
        <w:rPr>
          <w:rFonts w:ascii="Times New Roman" w:hAnsi="Times New Roman" w:cs="Times New Roman"/>
          <w:sz w:val="24"/>
          <w:szCs w:val="24"/>
        </w:rPr>
      </w:pPr>
      <w:r w:rsidRPr="007922E5">
        <w:rPr>
          <w:rFonts w:ascii="Times New Roman" w:hAnsi="Times New Roman" w:cs="Times New Roman"/>
          <w:sz w:val="24"/>
          <w:szCs w:val="24"/>
        </w:rPr>
        <w:lastRenderedPageBreak/>
        <w:t>Pavarësisht COVID-19, të gjitha institucionet vijuan me punën e tyre të rregullt, duke përfshirë përmirësimin e mjeteve të IT-së për të mbajtur takime online. Në vitin 2021, COVID-19 nuk ndikoi në procedurat gjyqësore dhe seancat u mbajtën me dyer të mbyllura gjatë gjithë periudhës raportuese.</w:t>
      </w:r>
    </w:p>
    <w:p w:rsidR="00D01F89" w:rsidRPr="007922E5" w:rsidRDefault="00D01F89" w:rsidP="00D01F89">
      <w:pPr>
        <w:jc w:val="both"/>
        <w:rPr>
          <w:rFonts w:ascii="Times New Roman" w:hAnsi="Times New Roman" w:cs="Times New Roman"/>
          <w:sz w:val="24"/>
          <w:szCs w:val="24"/>
        </w:rPr>
      </w:pPr>
    </w:p>
    <w:p w:rsidR="00972E2B" w:rsidRPr="007922E5" w:rsidRDefault="00C144D3" w:rsidP="00E31BC3">
      <w:pPr>
        <w:jc w:val="both"/>
        <w:rPr>
          <w:rFonts w:ascii="Times New Roman" w:hAnsi="Times New Roman" w:cs="Times New Roman"/>
          <w:b/>
          <w:sz w:val="24"/>
          <w:szCs w:val="24"/>
        </w:rPr>
      </w:pPr>
      <w:r w:rsidRPr="007922E5">
        <w:rPr>
          <w:rFonts w:ascii="Times New Roman" w:hAnsi="Times New Roman" w:cs="Times New Roman"/>
          <w:b/>
          <w:sz w:val="24"/>
          <w:szCs w:val="24"/>
        </w:rPr>
        <w:t xml:space="preserve"> </w:t>
      </w:r>
      <w:r w:rsidR="00972E2B" w:rsidRPr="007922E5">
        <w:rPr>
          <w:rFonts w:ascii="Times New Roman" w:hAnsi="Times New Roman" w:cs="Times New Roman"/>
          <w:b/>
          <w:sz w:val="24"/>
          <w:szCs w:val="24"/>
        </w:rPr>
        <w:t>Lufta kundër korrupsionit</w:t>
      </w:r>
    </w:p>
    <w:p w:rsidR="00972E2B" w:rsidRPr="007922E5" w:rsidRDefault="00972E2B" w:rsidP="005315D0">
      <w:p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t xml:space="preserve">Shqipëria ka një </w:t>
      </w:r>
      <w:r w:rsidRPr="007922E5">
        <w:rPr>
          <w:rFonts w:ascii="Times New Roman" w:hAnsi="Times New Roman" w:cs="Times New Roman"/>
          <w:b/>
          <w:sz w:val="24"/>
          <w:szCs w:val="24"/>
        </w:rPr>
        <w:t>nivel përgatitjeje</w:t>
      </w:r>
      <w:r w:rsidRPr="007922E5">
        <w:rPr>
          <w:rFonts w:ascii="Times New Roman" w:hAnsi="Times New Roman" w:cs="Times New Roman"/>
          <w:sz w:val="24"/>
          <w:szCs w:val="24"/>
        </w:rPr>
        <w:t xml:space="preserve"> </w:t>
      </w:r>
      <w:r w:rsidR="00AE4B3A" w:rsidRPr="007922E5">
        <w:rPr>
          <w:rFonts w:ascii="Times New Roman" w:hAnsi="Times New Roman" w:cs="Times New Roman"/>
          <w:sz w:val="24"/>
          <w:szCs w:val="24"/>
        </w:rPr>
        <w:t>n</w:t>
      </w:r>
      <w:r w:rsidRPr="007922E5">
        <w:rPr>
          <w:rFonts w:ascii="Times New Roman" w:hAnsi="Times New Roman" w:cs="Times New Roman"/>
          <w:sz w:val="24"/>
          <w:szCs w:val="24"/>
        </w:rPr>
        <w:t xml:space="preserve">ë luftën kundër korrupsionit. Pavarësisht </w:t>
      </w:r>
      <w:r w:rsidRPr="007922E5">
        <w:rPr>
          <w:rFonts w:ascii="Times New Roman" w:hAnsi="Times New Roman" w:cs="Times New Roman"/>
          <w:b/>
          <w:sz w:val="24"/>
          <w:szCs w:val="24"/>
        </w:rPr>
        <w:t>disa përparimeve</w:t>
      </w:r>
      <w:r w:rsidRPr="007922E5">
        <w:rPr>
          <w:rFonts w:ascii="Times New Roman" w:hAnsi="Times New Roman" w:cs="Times New Roman"/>
          <w:sz w:val="24"/>
          <w:szCs w:val="24"/>
        </w:rPr>
        <w:t xml:space="preserve">, përpjekjeve të shtuara dhe angazhimit politik në luftën kundër korrupsionit, </w:t>
      </w:r>
      <w:r w:rsidRPr="00D01F89">
        <w:rPr>
          <w:rFonts w:ascii="Times New Roman" w:hAnsi="Times New Roman" w:cs="Times New Roman"/>
          <w:b/>
          <w:bCs/>
          <w:sz w:val="24"/>
          <w:szCs w:val="24"/>
        </w:rPr>
        <w:t xml:space="preserve">ai mbetet një </w:t>
      </w:r>
      <w:r w:rsidR="00D01F89">
        <w:rPr>
          <w:rFonts w:ascii="Times New Roman" w:hAnsi="Times New Roman" w:cs="Times New Roman"/>
          <w:b/>
          <w:bCs/>
          <w:sz w:val="24"/>
          <w:szCs w:val="24"/>
        </w:rPr>
        <w:t>fushe</w:t>
      </w:r>
      <w:r w:rsidRPr="00D01F89">
        <w:rPr>
          <w:rFonts w:ascii="Times New Roman" w:hAnsi="Times New Roman" w:cs="Times New Roman"/>
          <w:b/>
          <w:bCs/>
          <w:sz w:val="24"/>
          <w:szCs w:val="24"/>
        </w:rPr>
        <w:t xml:space="preserve"> me shqetësim serioz.</w:t>
      </w:r>
      <w:r w:rsidRPr="007922E5">
        <w:rPr>
          <w:rFonts w:ascii="Times New Roman" w:hAnsi="Times New Roman" w:cs="Times New Roman"/>
          <w:sz w:val="24"/>
          <w:szCs w:val="24"/>
        </w:rPr>
        <w:t xml:space="preserve"> </w:t>
      </w:r>
      <w:r w:rsidRPr="00D01F89">
        <w:rPr>
          <w:rFonts w:ascii="Times New Roman" w:hAnsi="Times New Roman" w:cs="Times New Roman"/>
          <w:b/>
          <w:bCs/>
          <w:i/>
          <w:iCs/>
          <w:sz w:val="24"/>
          <w:szCs w:val="24"/>
        </w:rPr>
        <w:t>Në përgjithësi, korrupsioni është i përhapur në shumë fusha të jetës publike dhe të biznesit.</w:t>
      </w:r>
      <w:r w:rsidRPr="007922E5">
        <w:rPr>
          <w:rFonts w:ascii="Times New Roman" w:hAnsi="Times New Roman" w:cs="Times New Roman"/>
          <w:sz w:val="24"/>
          <w:szCs w:val="24"/>
        </w:rPr>
        <w:t xml:space="preserve"> Struktura e Specializuar Kundër Korrupsionit dhe Krimit të Organizuar (SPAK) ka kryer procedime penale dhe hetime financiare për disa çështje të nivelit të lartë. Janë </w:t>
      </w:r>
      <w:r w:rsidR="00AE4B3A" w:rsidRPr="007922E5">
        <w:rPr>
          <w:rFonts w:ascii="Times New Roman" w:hAnsi="Times New Roman" w:cs="Times New Roman"/>
          <w:sz w:val="24"/>
          <w:szCs w:val="24"/>
        </w:rPr>
        <w:t>nd</w:t>
      </w:r>
      <w:r w:rsidR="00C144D3" w:rsidRPr="007922E5">
        <w:rPr>
          <w:rFonts w:ascii="Times New Roman" w:hAnsi="Times New Roman" w:cs="Times New Roman"/>
          <w:sz w:val="24"/>
          <w:szCs w:val="24"/>
        </w:rPr>
        <w:t>ë</w:t>
      </w:r>
      <w:r w:rsidR="00AE4B3A" w:rsidRPr="007922E5">
        <w:rPr>
          <w:rFonts w:ascii="Times New Roman" w:hAnsi="Times New Roman" w:cs="Times New Roman"/>
          <w:sz w:val="24"/>
          <w:szCs w:val="24"/>
        </w:rPr>
        <w:t>rmarr</w:t>
      </w:r>
      <w:r w:rsidR="00C144D3" w:rsidRPr="007922E5">
        <w:rPr>
          <w:rFonts w:ascii="Times New Roman" w:hAnsi="Times New Roman" w:cs="Times New Roman"/>
          <w:sz w:val="24"/>
          <w:szCs w:val="24"/>
        </w:rPr>
        <w:t>ë</w:t>
      </w:r>
      <w:r w:rsidRPr="007922E5">
        <w:rPr>
          <w:rFonts w:ascii="Times New Roman" w:hAnsi="Times New Roman" w:cs="Times New Roman"/>
          <w:sz w:val="24"/>
          <w:szCs w:val="24"/>
        </w:rPr>
        <w:t xml:space="preserve"> disa dënime përfundimtare të zyrtarëve të lartë shtetërorë. Vettingu i anëtarëve të drejtësisë vijon të sjellë rezultate në luftën kundër korrupsionit brenda drejtësisë. Në Ministrinë e Drejtësisë u krijua një Drejtori e re e Përgjithshme Kundër Korrupsionit për të përmirësuar koordinimin në nivel qendror; </w:t>
      </w:r>
      <w:r w:rsidRPr="00D01F89">
        <w:rPr>
          <w:rFonts w:ascii="Times New Roman" w:hAnsi="Times New Roman" w:cs="Times New Roman"/>
          <w:b/>
          <w:bCs/>
          <w:i/>
          <w:iCs/>
          <w:sz w:val="24"/>
          <w:szCs w:val="24"/>
        </w:rPr>
        <w:t xml:space="preserve">efikasiteti i </w:t>
      </w:r>
      <w:r w:rsidR="00D01F89">
        <w:rPr>
          <w:rFonts w:ascii="Times New Roman" w:hAnsi="Times New Roman" w:cs="Times New Roman"/>
          <w:b/>
          <w:bCs/>
          <w:i/>
          <w:iCs/>
          <w:sz w:val="24"/>
          <w:szCs w:val="24"/>
        </w:rPr>
        <w:t>saj</w:t>
      </w:r>
      <w:r w:rsidRPr="00D01F89">
        <w:rPr>
          <w:rFonts w:ascii="Times New Roman" w:hAnsi="Times New Roman" w:cs="Times New Roman"/>
          <w:b/>
          <w:bCs/>
          <w:i/>
          <w:iCs/>
          <w:sz w:val="24"/>
          <w:szCs w:val="24"/>
        </w:rPr>
        <w:t xml:space="preserve"> mbetet për t'u demonstruar.</w:t>
      </w:r>
      <w:r w:rsidRPr="007922E5">
        <w:rPr>
          <w:rFonts w:ascii="Times New Roman" w:hAnsi="Times New Roman" w:cs="Times New Roman"/>
          <w:sz w:val="24"/>
          <w:szCs w:val="24"/>
        </w:rPr>
        <w:t xml:space="preserve"> </w:t>
      </w:r>
      <w:r w:rsidRPr="00D01F89">
        <w:rPr>
          <w:rFonts w:ascii="Times New Roman" w:hAnsi="Times New Roman" w:cs="Times New Roman"/>
          <w:b/>
          <w:bCs/>
          <w:i/>
          <w:iCs/>
          <w:sz w:val="24"/>
          <w:szCs w:val="24"/>
        </w:rPr>
        <w:t>Rritja e numrit të dënimeve përfundimtare të zyrtarëve të nivelit të lartë mbetet një prioritet i rëndësishëm për të trajtuar më tej kulturën e mosndëshkimit. Sektorët më të cenueshëm ndaj korrupsionit kërkojnë vlerësime të synuara të rrezikut dhe veprime të përkushtuara.</w:t>
      </w:r>
      <w:r w:rsidRPr="007922E5">
        <w:rPr>
          <w:rFonts w:ascii="Times New Roman" w:hAnsi="Times New Roman" w:cs="Times New Roman"/>
          <w:sz w:val="24"/>
          <w:szCs w:val="24"/>
        </w:rPr>
        <w:t xml:space="preserve"> Meqenëse rekomandimet e vitit 2021 u zbatuan vetëm pjesërisht, këto mbeten të vlefshme.</w:t>
      </w:r>
    </w:p>
    <w:p w:rsidR="00972E2B" w:rsidRPr="00D01F89" w:rsidRDefault="00972E2B" w:rsidP="005315D0">
      <w:pPr>
        <w:shd w:val="clear" w:color="auto" w:fill="AEAAAA" w:themeFill="background2" w:themeFillShade="BF"/>
        <w:jc w:val="both"/>
        <w:rPr>
          <w:rFonts w:ascii="Times New Roman" w:hAnsi="Times New Roman" w:cs="Times New Roman"/>
          <w:b/>
          <w:bCs/>
          <w:sz w:val="24"/>
          <w:szCs w:val="24"/>
        </w:rPr>
      </w:pPr>
      <w:r w:rsidRPr="00D01F89">
        <w:rPr>
          <w:rFonts w:ascii="Times New Roman" w:hAnsi="Times New Roman" w:cs="Times New Roman"/>
          <w:b/>
          <w:bCs/>
          <w:sz w:val="24"/>
          <w:szCs w:val="24"/>
        </w:rPr>
        <w:t>Në vitin e ardhshëm, vendi duhet në veçanti:</w:t>
      </w:r>
    </w:p>
    <w:p w:rsidR="00972E2B" w:rsidRPr="00D01F89" w:rsidRDefault="00972E2B" w:rsidP="005315D0">
      <w:pPr>
        <w:pStyle w:val="ListParagraph"/>
        <w:numPr>
          <w:ilvl w:val="0"/>
          <w:numId w:val="2"/>
        </w:numPr>
        <w:shd w:val="clear" w:color="auto" w:fill="AEAAAA" w:themeFill="background2" w:themeFillShade="BF"/>
        <w:jc w:val="both"/>
        <w:rPr>
          <w:rFonts w:ascii="Times New Roman" w:hAnsi="Times New Roman" w:cs="Times New Roman"/>
          <w:i/>
          <w:iCs/>
          <w:sz w:val="24"/>
          <w:szCs w:val="24"/>
        </w:rPr>
      </w:pPr>
      <w:r w:rsidRPr="00D01F89">
        <w:rPr>
          <w:rFonts w:ascii="Times New Roman" w:hAnsi="Times New Roman" w:cs="Times New Roman"/>
          <w:i/>
          <w:iCs/>
          <w:sz w:val="24"/>
          <w:szCs w:val="24"/>
        </w:rPr>
        <w:t>progres i mëtejshëm drejt krijimit të një historie solide të hetimeve, ndjekjes penale dhe gjykimit të rasteve të korrupsionit, si dhe sekuestrimin dhe konfiskimin/rikthyerjen e aseteve kriminale që rezultojnë nga veprat e lidhura me korrupsionin;</w:t>
      </w:r>
    </w:p>
    <w:p w:rsidR="00972E2B" w:rsidRPr="00D01F89" w:rsidRDefault="00972E2B" w:rsidP="005315D0">
      <w:pPr>
        <w:pStyle w:val="ListParagraph"/>
        <w:numPr>
          <w:ilvl w:val="0"/>
          <w:numId w:val="2"/>
        </w:numPr>
        <w:shd w:val="clear" w:color="auto" w:fill="AEAAAA" w:themeFill="background2" w:themeFillShade="BF"/>
        <w:jc w:val="both"/>
        <w:rPr>
          <w:rFonts w:ascii="Times New Roman" w:hAnsi="Times New Roman" w:cs="Times New Roman"/>
          <w:i/>
          <w:iCs/>
          <w:sz w:val="24"/>
          <w:szCs w:val="24"/>
        </w:rPr>
      </w:pPr>
      <w:r w:rsidRPr="00D01F89">
        <w:rPr>
          <w:rFonts w:ascii="Times New Roman" w:hAnsi="Times New Roman" w:cs="Times New Roman"/>
          <w:i/>
          <w:iCs/>
          <w:sz w:val="24"/>
          <w:szCs w:val="24"/>
        </w:rPr>
        <w:t>të sigurojë që Struktura e Specializuar Kundër Korrupsionit dhe Krimit të Organizuar (SPAK) të trajtojë më tej korrupsionin e nivelit të lartë, të rrisë stafin dhe burimet e saj, si dhe koordinimin e saj me organet ligjzbatuese,</w:t>
      </w:r>
      <w:r w:rsidR="00AE4B3A" w:rsidRPr="00D01F89">
        <w:rPr>
          <w:rFonts w:ascii="Times New Roman" w:hAnsi="Times New Roman" w:cs="Times New Roman"/>
          <w:i/>
          <w:iCs/>
          <w:sz w:val="24"/>
          <w:szCs w:val="24"/>
        </w:rPr>
        <w:t xml:space="preserve"> t</w:t>
      </w:r>
      <w:r w:rsidR="00C144D3" w:rsidRPr="00D01F89">
        <w:rPr>
          <w:rFonts w:ascii="Times New Roman" w:hAnsi="Times New Roman" w:cs="Times New Roman"/>
          <w:i/>
          <w:iCs/>
          <w:sz w:val="24"/>
          <w:szCs w:val="24"/>
        </w:rPr>
        <w:t>ë</w:t>
      </w:r>
      <w:r w:rsidR="00AE4B3A" w:rsidRPr="00D01F89">
        <w:rPr>
          <w:rFonts w:ascii="Times New Roman" w:hAnsi="Times New Roman" w:cs="Times New Roman"/>
          <w:i/>
          <w:iCs/>
          <w:sz w:val="24"/>
          <w:szCs w:val="24"/>
        </w:rPr>
        <w:t xml:space="preserve"> prokuroris</w:t>
      </w:r>
      <w:r w:rsidR="00C144D3" w:rsidRPr="00D01F89">
        <w:rPr>
          <w:rFonts w:ascii="Times New Roman" w:hAnsi="Times New Roman" w:cs="Times New Roman"/>
          <w:i/>
          <w:iCs/>
          <w:sz w:val="24"/>
          <w:szCs w:val="24"/>
        </w:rPr>
        <w:t>ë</w:t>
      </w:r>
      <w:r w:rsidR="00AE4B3A" w:rsidRPr="00D01F89">
        <w:rPr>
          <w:rFonts w:ascii="Times New Roman" w:hAnsi="Times New Roman" w:cs="Times New Roman"/>
          <w:i/>
          <w:iCs/>
          <w:sz w:val="24"/>
          <w:szCs w:val="24"/>
        </w:rPr>
        <w:t xml:space="preserve"> dhe gjyq</w:t>
      </w:r>
      <w:r w:rsidR="00C144D3" w:rsidRPr="00D01F89">
        <w:rPr>
          <w:rFonts w:ascii="Times New Roman" w:hAnsi="Times New Roman" w:cs="Times New Roman"/>
          <w:i/>
          <w:iCs/>
          <w:sz w:val="24"/>
          <w:szCs w:val="24"/>
        </w:rPr>
        <w:t>ë</w:t>
      </w:r>
      <w:r w:rsidR="00AE4B3A" w:rsidRPr="00D01F89">
        <w:rPr>
          <w:rFonts w:ascii="Times New Roman" w:hAnsi="Times New Roman" w:cs="Times New Roman"/>
          <w:i/>
          <w:iCs/>
          <w:sz w:val="24"/>
          <w:szCs w:val="24"/>
        </w:rPr>
        <w:t>sorit</w:t>
      </w:r>
      <w:r w:rsidRPr="00D01F89">
        <w:rPr>
          <w:rFonts w:ascii="Times New Roman" w:hAnsi="Times New Roman" w:cs="Times New Roman"/>
          <w:i/>
          <w:iCs/>
          <w:sz w:val="24"/>
          <w:szCs w:val="24"/>
        </w:rPr>
        <w:t xml:space="preserve"> të ngarkuara për parandalimin e korrupsionit;</w:t>
      </w:r>
    </w:p>
    <w:p w:rsidR="00972E2B" w:rsidRPr="00D01F89" w:rsidRDefault="00972E2B" w:rsidP="005315D0">
      <w:pPr>
        <w:pStyle w:val="ListParagraph"/>
        <w:numPr>
          <w:ilvl w:val="0"/>
          <w:numId w:val="2"/>
        </w:numPr>
        <w:shd w:val="clear" w:color="auto" w:fill="AEAAAA" w:themeFill="background2" w:themeFillShade="BF"/>
        <w:jc w:val="both"/>
        <w:rPr>
          <w:rFonts w:ascii="Times New Roman" w:hAnsi="Times New Roman" w:cs="Times New Roman"/>
          <w:i/>
          <w:iCs/>
          <w:sz w:val="24"/>
          <w:szCs w:val="24"/>
        </w:rPr>
      </w:pPr>
      <w:r w:rsidRPr="00D01F89">
        <w:rPr>
          <w:rFonts w:ascii="Times New Roman" w:hAnsi="Times New Roman" w:cs="Times New Roman"/>
          <w:i/>
          <w:iCs/>
          <w:sz w:val="24"/>
          <w:szCs w:val="24"/>
        </w:rPr>
        <w:t>të sigurojë që procedurat penale të nisin në mënyrë të vazhdueshme dhe sistematike kundër gjyqtarëve dhe prokurorëve të akuzuar për sjellje kriminale gjatë procesit të rivlerësimit;</w:t>
      </w:r>
    </w:p>
    <w:p w:rsidR="00972E2B" w:rsidRPr="00D01F89" w:rsidRDefault="00972E2B" w:rsidP="005315D0">
      <w:pPr>
        <w:pStyle w:val="ListParagraph"/>
        <w:numPr>
          <w:ilvl w:val="0"/>
          <w:numId w:val="2"/>
        </w:numPr>
        <w:shd w:val="clear" w:color="auto" w:fill="AEAAAA" w:themeFill="background2" w:themeFillShade="BF"/>
        <w:jc w:val="both"/>
        <w:rPr>
          <w:rFonts w:ascii="Times New Roman" w:hAnsi="Times New Roman" w:cs="Times New Roman"/>
          <w:i/>
          <w:iCs/>
          <w:sz w:val="24"/>
          <w:szCs w:val="24"/>
        </w:rPr>
      </w:pPr>
      <w:r w:rsidRPr="00D01F89">
        <w:rPr>
          <w:rFonts w:ascii="Times New Roman" w:hAnsi="Times New Roman" w:cs="Times New Roman"/>
          <w:i/>
          <w:iCs/>
          <w:sz w:val="24"/>
          <w:szCs w:val="24"/>
        </w:rPr>
        <w:t>të trajtojë në mënyrë efektive rekomandimet e Grupit të Shteteve të Këshillit të Evropës kundër Korrupsionit (GRECO) dhe të zbatojë në kohë planin e veprimit përkatës; miratimi i planeve të integritetit/parandalimit të korrupsionit brenda të gjitha ministrive të linjës dhe autoriteteve shtetërore.</w:t>
      </w:r>
    </w:p>
    <w:p w:rsidR="00972E2B" w:rsidRPr="00D01F89" w:rsidRDefault="00972E2B" w:rsidP="00E31BC3">
      <w:pPr>
        <w:jc w:val="both"/>
        <w:rPr>
          <w:rFonts w:ascii="Times New Roman" w:hAnsi="Times New Roman" w:cs="Times New Roman"/>
          <w:b/>
          <w:bCs/>
          <w:sz w:val="24"/>
          <w:szCs w:val="24"/>
          <w:u w:val="single"/>
        </w:rPr>
      </w:pPr>
      <w:r w:rsidRPr="00D01F89">
        <w:rPr>
          <w:rFonts w:ascii="Times New Roman" w:hAnsi="Times New Roman" w:cs="Times New Roman"/>
          <w:b/>
          <w:bCs/>
          <w:sz w:val="24"/>
          <w:szCs w:val="24"/>
          <w:u w:val="single"/>
        </w:rPr>
        <w:t xml:space="preserve">Regjistrimi i </w:t>
      </w:r>
      <w:r w:rsidR="00EB45C2" w:rsidRPr="00D01F89">
        <w:rPr>
          <w:rFonts w:ascii="Times New Roman" w:hAnsi="Times New Roman" w:cs="Times New Roman"/>
          <w:b/>
          <w:bCs/>
          <w:sz w:val="24"/>
          <w:szCs w:val="24"/>
          <w:u w:val="single"/>
        </w:rPr>
        <w:t>t</w:t>
      </w:r>
      <w:r w:rsidR="00C144D3" w:rsidRPr="00D01F89">
        <w:rPr>
          <w:rFonts w:ascii="Times New Roman" w:hAnsi="Times New Roman" w:cs="Times New Roman"/>
          <w:b/>
          <w:bCs/>
          <w:sz w:val="24"/>
          <w:szCs w:val="24"/>
          <w:u w:val="single"/>
        </w:rPr>
        <w:t>ë</w:t>
      </w:r>
      <w:r w:rsidR="00EB45C2" w:rsidRPr="00D01F89">
        <w:rPr>
          <w:rFonts w:ascii="Times New Roman" w:hAnsi="Times New Roman" w:cs="Times New Roman"/>
          <w:b/>
          <w:bCs/>
          <w:sz w:val="24"/>
          <w:szCs w:val="24"/>
          <w:u w:val="single"/>
        </w:rPr>
        <w:t xml:space="preserve"> dh</w:t>
      </w:r>
      <w:r w:rsidR="00C144D3" w:rsidRPr="00D01F89">
        <w:rPr>
          <w:rFonts w:ascii="Times New Roman" w:hAnsi="Times New Roman" w:cs="Times New Roman"/>
          <w:b/>
          <w:bCs/>
          <w:sz w:val="24"/>
          <w:szCs w:val="24"/>
          <w:u w:val="single"/>
        </w:rPr>
        <w:t>ë</w:t>
      </w:r>
      <w:r w:rsidR="00EB45C2" w:rsidRPr="00D01F89">
        <w:rPr>
          <w:rFonts w:ascii="Times New Roman" w:hAnsi="Times New Roman" w:cs="Times New Roman"/>
          <w:b/>
          <w:bCs/>
          <w:sz w:val="24"/>
          <w:szCs w:val="24"/>
          <w:u w:val="single"/>
        </w:rPr>
        <w:t>nave</w:t>
      </w:r>
    </w:p>
    <w:p w:rsidR="00972E2B" w:rsidRPr="007922E5" w:rsidRDefault="00EB45C2" w:rsidP="00E31BC3">
      <w:pPr>
        <w:jc w:val="both"/>
        <w:rPr>
          <w:rFonts w:ascii="Times New Roman" w:hAnsi="Times New Roman" w:cs="Times New Roman"/>
          <w:sz w:val="24"/>
          <w:szCs w:val="24"/>
        </w:rPr>
      </w:pPr>
      <w:r w:rsidRPr="007922E5">
        <w:rPr>
          <w:rFonts w:ascii="Times New Roman" w:hAnsi="Times New Roman" w:cs="Times New Roman"/>
          <w:sz w:val="24"/>
          <w:szCs w:val="24"/>
        </w:rPr>
        <w:t>Kan</w:t>
      </w:r>
      <w:r w:rsidR="00C144D3" w:rsidRPr="007922E5">
        <w:rPr>
          <w:rFonts w:ascii="Times New Roman" w:hAnsi="Times New Roman" w:cs="Times New Roman"/>
          <w:sz w:val="24"/>
          <w:szCs w:val="24"/>
        </w:rPr>
        <w:t>ë</w:t>
      </w:r>
      <w:r w:rsidRPr="007922E5">
        <w:rPr>
          <w:rFonts w:ascii="Times New Roman" w:hAnsi="Times New Roman" w:cs="Times New Roman"/>
          <w:sz w:val="24"/>
          <w:szCs w:val="24"/>
        </w:rPr>
        <w:t xml:space="preserve"> v</w:t>
      </w:r>
      <w:r w:rsidR="00972E2B" w:rsidRPr="007922E5">
        <w:rPr>
          <w:rFonts w:ascii="Times New Roman" w:hAnsi="Times New Roman" w:cs="Times New Roman"/>
          <w:sz w:val="24"/>
          <w:szCs w:val="24"/>
        </w:rPr>
        <w:t xml:space="preserve">azhduan përpjekjet për </w:t>
      </w:r>
      <w:r w:rsidRPr="007922E5">
        <w:rPr>
          <w:rFonts w:ascii="Times New Roman" w:hAnsi="Times New Roman" w:cs="Times New Roman"/>
          <w:sz w:val="24"/>
          <w:szCs w:val="24"/>
        </w:rPr>
        <w:t>t</w:t>
      </w:r>
      <w:r w:rsidR="00C144D3" w:rsidRPr="007922E5">
        <w:rPr>
          <w:rFonts w:ascii="Times New Roman" w:hAnsi="Times New Roman" w:cs="Times New Roman"/>
          <w:sz w:val="24"/>
          <w:szCs w:val="24"/>
        </w:rPr>
        <w:t>ë</w:t>
      </w:r>
      <w:r w:rsidRPr="007922E5">
        <w:rPr>
          <w:rFonts w:ascii="Times New Roman" w:hAnsi="Times New Roman" w:cs="Times New Roman"/>
          <w:sz w:val="24"/>
          <w:szCs w:val="24"/>
        </w:rPr>
        <w:t xml:space="preserve"> </w:t>
      </w:r>
      <w:r w:rsidR="00972E2B" w:rsidRPr="007922E5">
        <w:rPr>
          <w:rFonts w:ascii="Times New Roman" w:hAnsi="Times New Roman" w:cs="Times New Roman"/>
          <w:sz w:val="24"/>
          <w:szCs w:val="24"/>
        </w:rPr>
        <w:t>përmirës</w:t>
      </w:r>
      <w:r w:rsidRPr="007922E5">
        <w:rPr>
          <w:rFonts w:ascii="Times New Roman" w:hAnsi="Times New Roman" w:cs="Times New Roman"/>
          <w:sz w:val="24"/>
          <w:szCs w:val="24"/>
        </w:rPr>
        <w:t>uar</w:t>
      </w:r>
      <w:r w:rsidR="00972E2B" w:rsidRPr="007922E5">
        <w:rPr>
          <w:rFonts w:ascii="Times New Roman" w:hAnsi="Times New Roman" w:cs="Times New Roman"/>
          <w:sz w:val="24"/>
          <w:szCs w:val="24"/>
        </w:rPr>
        <w:t xml:space="preserve"> historiku</w:t>
      </w:r>
      <w:r w:rsidRPr="007922E5">
        <w:rPr>
          <w:rFonts w:ascii="Times New Roman" w:hAnsi="Times New Roman" w:cs="Times New Roman"/>
          <w:sz w:val="24"/>
          <w:szCs w:val="24"/>
        </w:rPr>
        <w:t>n e</w:t>
      </w:r>
      <w:r w:rsidR="00972E2B" w:rsidRPr="007922E5">
        <w:rPr>
          <w:rFonts w:ascii="Times New Roman" w:hAnsi="Times New Roman" w:cs="Times New Roman"/>
          <w:sz w:val="24"/>
          <w:szCs w:val="24"/>
        </w:rPr>
        <w:t xml:space="preserve"> të </w:t>
      </w:r>
      <w:r w:rsidRPr="007922E5">
        <w:rPr>
          <w:rFonts w:ascii="Times New Roman" w:hAnsi="Times New Roman" w:cs="Times New Roman"/>
          <w:sz w:val="24"/>
          <w:szCs w:val="24"/>
        </w:rPr>
        <w:t>dh</w:t>
      </w:r>
      <w:r w:rsidR="00C144D3" w:rsidRPr="007922E5">
        <w:rPr>
          <w:rFonts w:ascii="Times New Roman" w:hAnsi="Times New Roman" w:cs="Times New Roman"/>
          <w:sz w:val="24"/>
          <w:szCs w:val="24"/>
        </w:rPr>
        <w:t>ë</w:t>
      </w:r>
      <w:r w:rsidRPr="007922E5">
        <w:rPr>
          <w:rFonts w:ascii="Times New Roman" w:hAnsi="Times New Roman" w:cs="Times New Roman"/>
          <w:sz w:val="24"/>
          <w:szCs w:val="24"/>
        </w:rPr>
        <w:t xml:space="preserve">nave </w:t>
      </w:r>
      <w:r w:rsidR="00972E2B" w:rsidRPr="007922E5">
        <w:rPr>
          <w:rFonts w:ascii="Times New Roman" w:hAnsi="Times New Roman" w:cs="Times New Roman"/>
          <w:sz w:val="24"/>
          <w:szCs w:val="24"/>
        </w:rPr>
        <w:t>hetim</w:t>
      </w:r>
      <w:r w:rsidRPr="007922E5">
        <w:rPr>
          <w:rFonts w:ascii="Times New Roman" w:hAnsi="Times New Roman" w:cs="Times New Roman"/>
          <w:sz w:val="24"/>
          <w:szCs w:val="24"/>
        </w:rPr>
        <w:t>ore</w:t>
      </w:r>
      <w:r w:rsidR="00972E2B" w:rsidRPr="007922E5">
        <w:rPr>
          <w:rFonts w:ascii="Times New Roman" w:hAnsi="Times New Roman" w:cs="Times New Roman"/>
          <w:sz w:val="24"/>
          <w:szCs w:val="24"/>
        </w:rPr>
        <w:t xml:space="preserve">, ndjekjeve penale dhe dënimeve në luftën kundër korrupsionit. </w:t>
      </w:r>
      <w:r w:rsidR="00972E2B" w:rsidRPr="00AA56C1">
        <w:rPr>
          <w:rFonts w:ascii="Times New Roman" w:hAnsi="Times New Roman" w:cs="Times New Roman"/>
          <w:b/>
          <w:bCs/>
          <w:i/>
          <w:iCs/>
          <w:sz w:val="24"/>
          <w:szCs w:val="24"/>
        </w:rPr>
        <w:t xml:space="preserve">Megjithatë, </w:t>
      </w:r>
      <w:r w:rsidRPr="00AA56C1">
        <w:rPr>
          <w:rFonts w:ascii="Times New Roman" w:hAnsi="Times New Roman" w:cs="Times New Roman"/>
          <w:b/>
          <w:bCs/>
          <w:i/>
          <w:iCs/>
          <w:sz w:val="24"/>
          <w:szCs w:val="24"/>
        </w:rPr>
        <w:t>mbeten të nevojshme nj</w:t>
      </w:r>
      <w:r w:rsidR="00C144D3" w:rsidRPr="00AA56C1">
        <w:rPr>
          <w:rFonts w:ascii="Times New Roman" w:hAnsi="Times New Roman" w:cs="Times New Roman"/>
          <w:b/>
          <w:bCs/>
          <w:i/>
          <w:iCs/>
          <w:sz w:val="24"/>
          <w:szCs w:val="24"/>
        </w:rPr>
        <w:t>ë</w:t>
      </w:r>
      <w:r w:rsidRPr="00AA56C1">
        <w:rPr>
          <w:rFonts w:ascii="Times New Roman" w:hAnsi="Times New Roman" w:cs="Times New Roman"/>
          <w:b/>
          <w:bCs/>
          <w:i/>
          <w:iCs/>
          <w:sz w:val="24"/>
          <w:szCs w:val="24"/>
        </w:rPr>
        <w:t xml:space="preserve"> </w:t>
      </w:r>
      <w:r w:rsidR="00972E2B" w:rsidRPr="00AA56C1">
        <w:rPr>
          <w:rFonts w:ascii="Times New Roman" w:hAnsi="Times New Roman" w:cs="Times New Roman"/>
          <w:b/>
          <w:bCs/>
          <w:i/>
          <w:iCs/>
          <w:sz w:val="24"/>
          <w:szCs w:val="24"/>
        </w:rPr>
        <w:t>vullne</w:t>
      </w:r>
      <w:r w:rsidRPr="00AA56C1">
        <w:rPr>
          <w:rFonts w:ascii="Times New Roman" w:hAnsi="Times New Roman" w:cs="Times New Roman"/>
          <w:b/>
          <w:bCs/>
          <w:i/>
          <w:iCs/>
          <w:sz w:val="24"/>
          <w:szCs w:val="24"/>
        </w:rPr>
        <w:t>t</w:t>
      </w:r>
      <w:r w:rsidR="00972E2B" w:rsidRPr="00AA56C1">
        <w:rPr>
          <w:rFonts w:ascii="Times New Roman" w:hAnsi="Times New Roman" w:cs="Times New Roman"/>
          <w:b/>
          <w:bCs/>
          <w:i/>
          <w:iCs/>
          <w:sz w:val="24"/>
          <w:szCs w:val="24"/>
        </w:rPr>
        <w:t xml:space="preserve"> më i madh politik dhe përpjekjet më të strukturuara dhe të qëndrueshme, duke përfshirë burimet, mjetet dhe aftësitë e duhura.</w:t>
      </w:r>
      <w:r w:rsidR="00972E2B" w:rsidRPr="007922E5">
        <w:rPr>
          <w:rFonts w:ascii="Times New Roman" w:hAnsi="Times New Roman" w:cs="Times New Roman"/>
          <w:sz w:val="24"/>
          <w:szCs w:val="24"/>
        </w:rPr>
        <w:t xml:space="preserve"> Numri i rasteve të korrupsionit të dërguara në gjykatë ishte 440 në vitin 2021, përfshirë 31 raste të dërguara nga PSP. Dënimet përfundimtare të personave për vepra </w:t>
      </w:r>
      <w:r w:rsidR="00972E2B" w:rsidRPr="007922E5">
        <w:rPr>
          <w:rFonts w:ascii="Times New Roman" w:hAnsi="Times New Roman" w:cs="Times New Roman"/>
          <w:sz w:val="24"/>
          <w:szCs w:val="24"/>
        </w:rPr>
        <w:lastRenderedPageBreak/>
        <w:t xml:space="preserve">të korrupsionit arritën në 235 në shkallë të parë dhe 99 në shkallë të apelit dhe gjykatës </w:t>
      </w:r>
      <w:r w:rsidRPr="007922E5">
        <w:rPr>
          <w:rFonts w:ascii="Times New Roman" w:hAnsi="Times New Roman" w:cs="Times New Roman"/>
          <w:sz w:val="24"/>
          <w:szCs w:val="24"/>
        </w:rPr>
        <w:t>s</w:t>
      </w:r>
      <w:r w:rsidR="00C144D3" w:rsidRPr="007922E5">
        <w:rPr>
          <w:rFonts w:ascii="Times New Roman" w:hAnsi="Times New Roman" w:cs="Times New Roman"/>
          <w:sz w:val="24"/>
          <w:szCs w:val="24"/>
        </w:rPr>
        <w:t>ë</w:t>
      </w:r>
      <w:r w:rsidRPr="007922E5">
        <w:rPr>
          <w:rFonts w:ascii="Times New Roman" w:hAnsi="Times New Roman" w:cs="Times New Roman"/>
          <w:sz w:val="24"/>
          <w:szCs w:val="24"/>
        </w:rPr>
        <w:t xml:space="preserve"> lart</w:t>
      </w:r>
      <w:r w:rsidR="00C144D3" w:rsidRPr="007922E5">
        <w:rPr>
          <w:rFonts w:ascii="Times New Roman" w:hAnsi="Times New Roman" w:cs="Times New Roman"/>
          <w:sz w:val="24"/>
          <w:szCs w:val="24"/>
        </w:rPr>
        <w:t>ë</w:t>
      </w:r>
      <w:r w:rsidR="00972E2B" w:rsidRPr="007922E5">
        <w:rPr>
          <w:rFonts w:ascii="Times New Roman" w:hAnsi="Times New Roman" w:cs="Times New Roman"/>
          <w:sz w:val="24"/>
          <w:szCs w:val="24"/>
        </w:rPr>
        <w:t>. Numri i përgjithshëm i çështjeve të referuara për ndjekje penale në vitin 2021 ishte 3 351.</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Tek zyrtarët e nivelit të lartë shtetëror, pati njëfarë progresi. Në vitin 2021 janë hapur 89 raste (73 në vitin 2020) dhe janë ngritur 2 aktakuza me 5 persona (kundër 11 aktakuzave me 20 persona në vitin 2020). </w:t>
      </w:r>
      <w:r w:rsidRPr="00AA56C1">
        <w:rPr>
          <w:rFonts w:ascii="Times New Roman" w:hAnsi="Times New Roman" w:cs="Times New Roman"/>
          <w:b/>
          <w:bCs/>
          <w:i/>
          <w:iCs/>
          <w:sz w:val="24"/>
          <w:szCs w:val="24"/>
        </w:rPr>
        <w:t xml:space="preserve">Nuk </w:t>
      </w:r>
      <w:r w:rsidR="00AA56C1">
        <w:rPr>
          <w:rFonts w:ascii="Times New Roman" w:hAnsi="Times New Roman" w:cs="Times New Roman"/>
          <w:b/>
          <w:bCs/>
          <w:i/>
          <w:iCs/>
          <w:sz w:val="24"/>
          <w:szCs w:val="24"/>
        </w:rPr>
        <w:t>ka</w:t>
      </w:r>
      <w:r w:rsidRPr="00AA56C1">
        <w:rPr>
          <w:rFonts w:ascii="Times New Roman" w:hAnsi="Times New Roman" w:cs="Times New Roman"/>
          <w:b/>
          <w:bCs/>
          <w:i/>
          <w:iCs/>
          <w:sz w:val="24"/>
          <w:szCs w:val="24"/>
        </w:rPr>
        <w:t xml:space="preserve"> dënime të zyrtarëve për akuza për korrupsion të nivelit të lartë.</w:t>
      </w:r>
      <w:r w:rsidRPr="007922E5">
        <w:rPr>
          <w:rFonts w:ascii="Times New Roman" w:hAnsi="Times New Roman" w:cs="Times New Roman"/>
          <w:sz w:val="24"/>
          <w:szCs w:val="24"/>
        </w:rPr>
        <w:t xml:space="preserve"> </w:t>
      </w:r>
      <w:r w:rsidR="00EB45C2" w:rsidRPr="007922E5">
        <w:rPr>
          <w:rFonts w:ascii="Times New Roman" w:hAnsi="Times New Roman" w:cs="Times New Roman"/>
          <w:sz w:val="24"/>
          <w:szCs w:val="24"/>
        </w:rPr>
        <w:t>I</w:t>
      </w:r>
      <w:r w:rsidRPr="007922E5">
        <w:rPr>
          <w:rFonts w:ascii="Times New Roman" w:hAnsi="Times New Roman" w:cs="Times New Roman"/>
          <w:sz w:val="24"/>
          <w:szCs w:val="24"/>
        </w:rPr>
        <w:t>sh-prokuror</w:t>
      </w:r>
      <w:r w:rsidR="00EB45C2" w:rsidRPr="007922E5">
        <w:rPr>
          <w:rFonts w:ascii="Times New Roman" w:hAnsi="Times New Roman" w:cs="Times New Roman"/>
          <w:sz w:val="24"/>
          <w:szCs w:val="24"/>
        </w:rPr>
        <w:t>i</w:t>
      </w:r>
      <w:r w:rsidRPr="007922E5">
        <w:rPr>
          <w:rFonts w:ascii="Times New Roman" w:hAnsi="Times New Roman" w:cs="Times New Roman"/>
          <w:sz w:val="24"/>
          <w:szCs w:val="24"/>
        </w:rPr>
        <w:t xml:space="preserve"> i Përgjithshëm u dënua me dy vjet burgim dhe pesë vjet me kusht për fshehje të pasurisë. Një ish-ministër i Brendshëm është dënuar me tre vjet e katër muaj burg për shpërdorim detyre.</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Procedimet penale dhe hetimet financiare paralele u kryen nga SPAK në disa çështje të profilit të lartë, ku përfshiheshin politikanë dhe anëtarë të institucioneve shqiptare, gjyqësorit, autoriteteve vendore dhe sektorit të biznesit. Këtu përfshihet veçanërisht arrestimi i një ish-ministri të Mjedisit dhe i një deputeti si pjesë e një hetimi për kontratat koncesionare për trajtimin e mbetjeve urbane (çështja e inceneratorëve). Pas miratimit të Gjykatës së Apelit të SPAK-ut, u rihap hetimi ndaj një ish-ministri në lidhje me shpërthimet fatale të Gërdecit në vitin 2008.</w:t>
      </w:r>
    </w:p>
    <w:p w:rsidR="00972E2B" w:rsidRPr="00AA56C1" w:rsidRDefault="00972E2B" w:rsidP="00E31BC3">
      <w:pPr>
        <w:jc w:val="both"/>
        <w:rPr>
          <w:rFonts w:ascii="Times New Roman" w:hAnsi="Times New Roman" w:cs="Times New Roman"/>
          <w:b/>
          <w:bCs/>
          <w:i/>
          <w:iCs/>
          <w:sz w:val="24"/>
          <w:szCs w:val="24"/>
        </w:rPr>
      </w:pPr>
      <w:r w:rsidRPr="00AA56C1">
        <w:rPr>
          <w:rFonts w:ascii="Times New Roman" w:hAnsi="Times New Roman" w:cs="Times New Roman"/>
          <w:b/>
          <w:bCs/>
          <w:i/>
          <w:iCs/>
          <w:sz w:val="24"/>
          <w:szCs w:val="24"/>
        </w:rPr>
        <w:t>Hetimet duhet të rezultojnë në një numër të konsiderueshëm dënimesh përfundimtare të zyrtarëve të lartë shtetërorë. Nevojiten përpjekje të vazhdueshme për të trajtuar kulturën e mosndëshkimit të zyrtarëve të nivelit të lartë shtetëror.</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Në vitin 2021, rrjeti i koordinatorëve kundër korrupsionit, përgjegjës për hetimet administrative, ka paraqitur 12 raporte për veprimtari kriminale në 4 institucione (Agjencia Shtetërore e Kadastrës, Drejtoria e Përgjithshme e Shërbimeve të Transportit Rrugor, Autoriteti Kombëtar i Ushqimit dhe Drejtoria e Përgjithshme e Doganave) ndërsa 85 masa administrative. janë marrë ndaj 11 institucioneve.</w:t>
      </w:r>
    </w:p>
    <w:p w:rsidR="00972E2B" w:rsidRPr="00AA56C1" w:rsidRDefault="00972E2B"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Vettingu i anëtarëve të drejtësisë ka vijuar të ketë një ndikim pozitiv në luftën kundër korrupsionit. SPO ka ndjekur hetimet penale për gjyqtarë dhe prokurorë të Gjykatës së Lartë dhe Kushtetuese të verifikuar. </w:t>
      </w:r>
      <w:r w:rsidRPr="00AA56C1">
        <w:rPr>
          <w:rFonts w:ascii="Times New Roman" w:hAnsi="Times New Roman" w:cs="Times New Roman"/>
          <w:b/>
          <w:bCs/>
          <w:i/>
          <w:iCs/>
          <w:sz w:val="24"/>
          <w:szCs w:val="24"/>
        </w:rPr>
        <w:t xml:space="preserve">Përpjekjet për të siguruar që gjyqtarët e shkarkuar të sillen para drejtësisë duhet të vazhdojnë. </w:t>
      </w:r>
      <w:r w:rsidRPr="007922E5">
        <w:rPr>
          <w:rFonts w:ascii="Times New Roman" w:hAnsi="Times New Roman" w:cs="Times New Roman"/>
          <w:sz w:val="24"/>
          <w:szCs w:val="24"/>
        </w:rPr>
        <w:t xml:space="preserve">Nga 300 zyrtarë të lartë të Policisë së Shtetit, Gardës së Republikës dhe Shërbimit për Çështjet e Brendshme dhe Ankesat u verifikuan 66, duke sjellë deri tani 6 shkarkime dhe 7 dorëheqje. </w:t>
      </w:r>
      <w:r w:rsidRPr="00AA56C1">
        <w:rPr>
          <w:rFonts w:ascii="Times New Roman" w:hAnsi="Times New Roman" w:cs="Times New Roman"/>
          <w:b/>
          <w:bCs/>
          <w:i/>
          <w:iCs/>
          <w:sz w:val="24"/>
          <w:szCs w:val="24"/>
        </w:rPr>
        <w:t>Procesi i vetingut mbetet vendimtar për të rikthyer besimin e publikut tek gjyqësori dhe organet ligjzbatuese të shtetit.</w:t>
      </w:r>
    </w:p>
    <w:p w:rsidR="00972E2B" w:rsidRPr="00AA56C1" w:rsidRDefault="00972E2B"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Në vitin 2021, Gjykatat e SPAK vazhduan të </w:t>
      </w:r>
      <w:r w:rsidR="00F30A91" w:rsidRPr="007922E5">
        <w:rPr>
          <w:rFonts w:ascii="Times New Roman" w:hAnsi="Times New Roman" w:cs="Times New Roman"/>
          <w:sz w:val="24"/>
          <w:szCs w:val="24"/>
        </w:rPr>
        <w:t>regjistrojn</w:t>
      </w:r>
      <w:r w:rsidR="00C144D3" w:rsidRPr="007922E5">
        <w:rPr>
          <w:rFonts w:ascii="Times New Roman" w:hAnsi="Times New Roman" w:cs="Times New Roman"/>
          <w:sz w:val="24"/>
          <w:szCs w:val="24"/>
        </w:rPr>
        <w:t>ë</w:t>
      </w:r>
      <w:r w:rsidR="00F30A91" w:rsidRPr="007922E5">
        <w:rPr>
          <w:rFonts w:ascii="Times New Roman" w:hAnsi="Times New Roman" w:cs="Times New Roman"/>
          <w:sz w:val="24"/>
          <w:szCs w:val="24"/>
        </w:rPr>
        <w:t xml:space="preserve"> t</w:t>
      </w:r>
      <w:r w:rsidR="00C144D3" w:rsidRPr="007922E5">
        <w:rPr>
          <w:rFonts w:ascii="Times New Roman" w:hAnsi="Times New Roman" w:cs="Times New Roman"/>
          <w:sz w:val="24"/>
          <w:szCs w:val="24"/>
        </w:rPr>
        <w:t>ë</w:t>
      </w:r>
      <w:r w:rsidR="00F30A91" w:rsidRPr="007922E5">
        <w:rPr>
          <w:rFonts w:ascii="Times New Roman" w:hAnsi="Times New Roman" w:cs="Times New Roman"/>
          <w:sz w:val="24"/>
          <w:szCs w:val="24"/>
        </w:rPr>
        <w:t xml:space="preserve"> dh</w:t>
      </w:r>
      <w:r w:rsidR="00C144D3" w:rsidRPr="007922E5">
        <w:rPr>
          <w:rFonts w:ascii="Times New Roman" w:hAnsi="Times New Roman" w:cs="Times New Roman"/>
          <w:sz w:val="24"/>
          <w:szCs w:val="24"/>
        </w:rPr>
        <w:t>ë</w:t>
      </w:r>
      <w:r w:rsidR="00F30A91" w:rsidRPr="007922E5">
        <w:rPr>
          <w:rFonts w:ascii="Times New Roman" w:hAnsi="Times New Roman" w:cs="Times New Roman"/>
          <w:sz w:val="24"/>
          <w:szCs w:val="24"/>
        </w:rPr>
        <w:t>nat</w:t>
      </w:r>
      <w:r w:rsidRPr="007922E5">
        <w:rPr>
          <w:rFonts w:ascii="Times New Roman" w:hAnsi="Times New Roman" w:cs="Times New Roman"/>
          <w:sz w:val="24"/>
          <w:szCs w:val="24"/>
        </w:rPr>
        <w:t xml:space="preserve"> në fushën e korrupsionit me 52 dënime të formës së prerë (136 persona) në shkallë të parë dhe 22 dënime kundër (44 persona) në çështjet e korrupsionit. Njëfarë progresi është bërë në vitin 2021 në sekuestrimin dhe konfiskimin e aseteve në rastet e korrupsionit, me pasuri të sekuestruara në një vlerë totale prej rreth 21.5 milionë euro. </w:t>
      </w:r>
      <w:r w:rsidRPr="00AA56C1">
        <w:rPr>
          <w:rFonts w:ascii="Times New Roman" w:hAnsi="Times New Roman" w:cs="Times New Roman"/>
          <w:b/>
          <w:bCs/>
          <w:i/>
          <w:iCs/>
          <w:sz w:val="24"/>
          <w:szCs w:val="24"/>
        </w:rPr>
        <w:t>Megjithatë, nevojiten përpjekje shtesë, veçanërisht për ndjekjen efektive përmes konfiskimit.</w:t>
      </w:r>
      <w:r w:rsidRPr="007922E5">
        <w:rPr>
          <w:rFonts w:ascii="Times New Roman" w:hAnsi="Times New Roman" w:cs="Times New Roman"/>
          <w:sz w:val="24"/>
          <w:szCs w:val="24"/>
        </w:rPr>
        <w:t xml:space="preserve"> Në gjysmën e parë të vitit 2022, u sekuestruan pothuajse 37 milionë pasuri, por u </w:t>
      </w:r>
      <w:r w:rsidRPr="00AA56C1">
        <w:rPr>
          <w:rFonts w:ascii="Times New Roman" w:hAnsi="Times New Roman" w:cs="Times New Roman"/>
          <w:b/>
          <w:bCs/>
          <w:i/>
          <w:iCs/>
          <w:sz w:val="24"/>
          <w:szCs w:val="24"/>
        </w:rPr>
        <w:t>konfiskuan vetëm shuma të vogla.</w:t>
      </w:r>
    </w:p>
    <w:p w:rsidR="00972E2B" w:rsidRPr="00AA56C1" w:rsidRDefault="00972E2B"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Për deklarimet e pasurisë nga zyrtarë të lartë shtetërorë, 15 raste u referuan nga Inspektorati i Lartë për Deklarimin dhe Kontrollin e Pasurive dhe Konfliktit të Interesit (ILDKPKI) në organet ligjzbatuese në vitin 2021, nga 72 në 2020. </w:t>
      </w:r>
      <w:r w:rsidRPr="00AA56C1">
        <w:rPr>
          <w:rFonts w:ascii="Times New Roman" w:hAnsi="Times New Roman" w:cs="Times New Roman"/>
          <w:b/>
          <w:bCs/>
          <w:i/>
          <w:iCs/>
          <w:sz w:val="24"/>
          <w:szCs w:val="24"/>
        </w:rPr>
        <w:t>Nuk kishte asnjë dënim përfundimtar për rastet e referuara nga ILDKPKI.</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lastRenderedPageBreak/>
        <w:t>Vazhdoi të zbatohej ligji për sinjalizimin dhe mbrojtjen e sinjalizuesit. Në vitin 2021 janë regjistruar dhe hetuar administrativisht 11 raste dhe një kërkesë për mbrojtje kundër hakmarrjes është pranuar nga ILDKPKI. Sektori publik dhe privat kanë bërë progres në krijimin përkatësisht të 362 dhe 527 njësive përgjegjëse për miratimin e rregulloreve të brendshme për denoncimin dhe kanë vazhduar të dorëzojnë raporte pranë ILDKPKI.</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Në vitin 2021, ILDKPKI ka vendosur gjobë si masë administrative për 82 raste të refuzimit të deklarimit, konfliktit të interesit dhe moszbatimit të ligjit për denoncimin dhe mbrojtjen e denoncuesve. Pjesa më e madhe e këtyre masave u lanë në fuqi nga gjykatat administrative.</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Për sa i përket mekanizmave të kontrollit të brendshëm, Institucioni i Kontrollit të Lartë të Shtetit </w:t>
      </w:r>
      <w:r w:rsidRPr="00AA56C1">
        <w:rPr>
          <w:rFonts w:ascii="Times New Roman" w:hAnsi="Times New Roman" w:cs="Times New Roman"/>
          <w:b/>
          <w:bCs/>
          <w:i/>
          <w:iCs/>
          <w:sz w:val="24"/>
          <w:szCs w:val="24"/>
        </w:rPr>
        <w:t>raportoi dëme dhe humbje financiare të vlerësuara për financat publike në vitin 2021 prej gati 18 milionë eurosh.</w:t>
      </w:r>
      <w:r w:rsidRPr="007922E5">
        <w:rPr>
          <w:rFonts w:ascii="Times New Roman" w:hAnsi="Times New Roman" w:cs="Times New Roman"/>
          <w:sz w:val="24"/>
          <w:szCs w:val="24"/>
        </w:rPr>
        <w:t xml:space="preserve"> Në vitin 2021, institucioni referoi për ndjekje penale 14 çështje me 62 drejtues, mes të cilëve një ish-ministër i Shëndetësisë dhe një ish-drejtor i Autoritetit Portual në Durrës. Një çështje e referuar për ndjekje penale në vitin 2020, për një tender prej 27 milionë eurosh për furnizimin e uniformave të policisë, çoi në arrestime nga SPAK të zyrtarëve publikë në korrik 2021. (Shih gjithashtu Kapitullin 32 – Kontrolli Financiar).</w:t>
      </w:r>
    </w:p>
    <w:p w:rsidR="00972E2B" w:rsidRPr="007922E5" w:rsidRDefault="00972E2B" w:rsidP="00E31BC3">
      <w:pPr>
        <w:jc w:val="both"/>
        <w:rPr>
          <w:rFonts w:ascii="Times New Roman" w:hAnsi="Times New Roman" w:cs="Times New Roman"/>
          <w:sz w:val="24"/>
          <w:szCs w:val="24"/>
        </w:rPr>
      </w:pPr>
      <w:r w:rsidRPr="00AA56C1">
        <w:rPr>
          <w:rFonts w:ascii="Times New Roman" w:hAnsi="Times New Roman" w:cs="Times New Roman"/>
          <w:b/>
          <w:bCs/>
          <w:i/>
          <w:iCs/>
          <w:sz w:val="24"/>
          <w:szCs w:val="24"/>
        </w:rPr>
        <w:t>Për aksesin në informacion</w:t>
      </w:r>
      <w:r w:rsidRPr="007922E5">
        <w:rPr>
          <w:rFonts w:ascii="Times New Roman" w:hAnsi="Times New Roman" w:cs="Times New Roman"/>
          <w:sz w:val="24"/>
          <w:szCs w:val="24"/>
        </w:rPr>
        <w:t xml:space="preserve">, Komisioneri për Informacionin dhe Mbrojtjen e të Dhënave administroi 992 ankesa dhe vazhdoi shqyrtimin e 44 ankesave të mbartura nga viti 2020. Në 698 prej këtyre rasteve, kërkuesit iu dha informacioni i kërkuar, si rezultat i procesit të hetimit </w:t>
      </w:r>
      <w:r w:rsidR="00F30A91" w:rsidRPr="007922E5">
        <w:rPr>
          <w:rFonts w:ascii="Times New Roman" w:hAnsi="Times New Roman" w:cs="Times New Roman"/>
          <w:sz w:val="24"/>
          <w:szCs w:val="24"/>
        </w:rPr>
        <w:t>administrative.</w:t>
      </w:r>
      <w:r w:rsidRPr="007922E5">
        <w:rPr>
          <w:rFonts w:ascii="Times New Roman" w:hAnsi="Times New Roman" w:cs="Times New Roman"/>
          <w:sz w:val="24"/>
          <w:szCs w:val="24"/>
        </w:rPr>
        <w:t xml:space="preserve"> Për sa i përket kuadrit institucional, ligji për të drejtën e informimit parashikon përgjegjësinë administrative të zyrtarëve publikë që nuk përmbushin detyrimet e tij, të sanksionuar me gjobë deri në 2500 euro dhe mundësinë që Komisioneri të marrë masa disiplinore ndaj personit përgjegjës. </w:t>
      </w:r>
    </w:p>
    <w:p w:rsidR="00972E2B" w:rsidRPr="00AA56C1" w:rsidRDefault="00972E2B" w:rsidP="00E31BC3">
      <w:pPr>
        <w:jc w:val="both"/>
        <w:rPr>
          <w:rFonts w:ascii="Times New Roman" w:hAnsi="Times New Roman" w:cs="Times New Roman"/>
          <w:b/>
          <w:bCs/>
          <w:i/>
          <w:iCs/>
          <w:sz w:val="24"/>
          <w:szCs w:val="24"/>
        </w:rPr>
      </w:pPr>
      <w:r w:rsidRPr="00AA56C1">
        <w:rPr>
          <w:rFonts w:ascii="Times New Roman" w:hAnsi="Times New Roman" w:cs="Times New Roman"/>
          <w:b/>
          <w:bCs/>
          <w:i/>
          <w:iCs/>
          <w:sz w:val="24"/>
          <w:szCs w:val="24"/>
        </w:rPr>
        <w:t xml:space="preserve">Masat kundër korrupsionit vazhdojnë të kenë një ndikim të kufizuar në </w:t>
      </w:r>
      <w:r w:rsidR="00AA56C1" w:rsidRPr="00AA56C1">
        <w:rPr>
          <w:rFonts w:ascii="Times New Roman" w:hAnsi="Times New Roman" w:cs="Times New Roman"/>
          <w:b/>
          <w:bCs/>
          <w:i/>
          <w:iCs/>
          <w:sz w:val="24"/>
          <w:szCs w:val="24"/>
        </w:rPr>
        <w:t>fusha</w:t>
      </w:r>
      <w:r w:rsidRPr="00AA56C1">
        <w:rPr>
          <w:rFonts w:ascii="Times New Roman" w:hAnsi="Times New Roman" w:cs="Times New Roman"/>
          <w:b/>
          <w:bCs/>
          <w:i/>
          <w:iCs/>
          <w:sz w:val="24"/>
          <w:szCs w:val="24"/>
        </w:rPr>
        <w:t xml:space="preserve"> veçanërisht vulnerabël (rrugë, kadastra, prona, dogana, administrata tatimore, arsimi, shëndetësia, prokurimet publike, kontratat PPP, etj.). Nevojiten më shumë veprime dhe duhet miratuar një strategji e bazuar në një analizë të përgjithshme të problemit. Kontrollet e brendshme dhe mekanizmat e inspektimit në administratën publike mbeten të dobëta dhe joefektive. Korrupsioni mbetet i përhapur në sektorët e shëndetësisë dhe pronës dhe brenda policisë. Ajo prek veçanërisht gratë për sa i përket aksesit në drejtësi, në shërbimet sociale dhe arsimin e lartë.</w:t>
      </w:r>
    </w:p>
    <w:p w:rsidR="00972E2B" w:rsidRPr="00AA56C1" w:rsidRDefault="00972E2B" w:rsidP="00E31BC3">
      <w:pPr>
        <w:jc w:val="both"/>
        <w:rPr>
          <w:rFonts w:ascii="Times New Roman" w:hAnsi="Times New Roman" w:cs="Times New Roman"/>
          <w:b/>
          <w:bCs/>
          <w:sz w:val="24"/>
          <w:szCs w:val="24"/>
          <w:u w:val="single"/>
        </w:rPr>
      </w:pPr>
      <w:r w:rsidRPr="00AA56C1">
        <w:rPr>
          <w:rFonts w:ascii="Times New Roman" w:hAnsi="Times New Roman" w:cs="Times New Roman"/>
          <w:b/>
          <w:bCs/>
          <w:sz w:val="24"/>
          <w:szCs w:val="24"/>
          <w:u w:val="single"/>
        </w:rPr>
        <w:t>Kuadri institucional</w:t>
      </w:r>
    </w:p>
    <w:p w:rsidR="00972E2B" w:rsidRPr="00AA56C1" w:rsidRDefault="00972E2B" w:rsidP="00E31BC3">
      <w:pPr>
        <w:jc w:val="both"/>
        <w:rPr>
          <w:rFonts w:ascii="Times New Roman" w:hAnsi="Times New Roman" w:cs="Times New Roman"/>
          <w:b/>
          <w:bCs/>
          <w:sz w:val="24"/>
          <w:szCs w:val="24"/>
        </w:rPr>
      </w:pPr>
      <w:r w:rsidRPr="00AA56C1">
        <w:rPr>
          <w:rFonts w:ascii="Times New Roman" w:hAnsi="Times New Roman" w:cs="Times New Roman"/>
          <w:b/>
          <w:bCs/>
          <w:sz w:val="24"/>
          <w:szCs w:val="24"/>
        </w:rPr>
        <w:t>Parandalimi i korrupsionit</w:t>
      </w:r>
    </w:p>
    <w:p w:rsidR="00972E2B" w:rsidRPr="007D0EA3" w:rsidRDefault="00972E2B"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Me qëllim të përmirësimit të koordinimit qendror kundër korrupsionit, në kuadër të Ministrisë së Drejtësisë u krijua një </w:t>
      </w:r>
      <w:r w:rsidRPr="007922E5">
        <w:rPr>
          <w:rFonts w:ascii="Times New Roman" w:hAnsi="Times New Roman" w:cs="Times New Roman"/>
          <w:b/>
          <w:sz w:val="24"/>
          <w:szCs w:val="24"/>
        </w:rPr>
        <w:t>Drejtori</w:t>
      </w:r>
      <w:r w:rsidRPr="007922E5">
        <w:rPr>
          <w:rFonts w:ascii="Times New Roman" w:hAnsi="Times New Roman" w:cs="Times New Roman"/>
          <w:sz w:val="24"/>
          <w:szCs w:val="24"/>
        </w:rPr>
        <w:t xml:space="preserve"> e re </w:t>
      </w:r>
      <w:r w:rsidRPr="007922E5">
        <w:rPr>
          <w:rFonts w:ascii="Times New Roman" w:hAnsi="Times New Roman" w:cs="Times New Roman"/>
          <w:b/>
          <w:sz w:val="24"/>
          <w:szCs w:val="24"/>
        </w:rPr>
        <w:t>e Përgjithshme Kundër Korrupsionit</w:t>
      </w:r>
      <w:r w:rsidRPr="007922E5">
        <w:rPr>
          <w:rFonts w:ascii="Times New Roman" w:hAnsi="Times New Roman" w:cs="Times New Roman"/>
          <w:sz w:val="24"/>
          <w:szCs w:val="24"/>
        </w:rPr>
        <w:t>, e cila përfshin kompetenca dhe funksione që më parë ishin pjesë e Kryeministrisë. Misioni i saj është kryerja e hetimeve administrative për denoncimet për praktika abuzive, korruptive apo arbitrare në lidhje me zbatimin e ligjit, si dhe identifikimi i shkeljeve të ligjit nga zyrtarët publikë</w:t>
      </w:r>
      <w:r w:rsidRPr="007D0EA3">
        <w:rPr>
          <w:rFonts w:ascii="Times New Roman" w:hAnsi="Times New Roman" w:cs="Times New Roman"/>
          <w:b/>
          <w:bCs/>
          <w:i/>
          <w:iCs/>
          <w:sz w:val="24"/>
          <w:szCs w:val="24"/>
        </w:rPr>
        <w:t>. Duhet të sigurohet një koordinim efektiv ndërinstitucional ndërmjet strukturave të reja qeveritare të përfshira në luftën kundër korrupsionit. Mbetet për t'u vlerësuar efikasiteti i drejtorisë së re kundër korrupsionit.</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lastRenderedPageBreak/>
        <w:t xml:space="preserve">Kapaciteti institucional dhe operacional i rrjetit antikorrupsion në ministritë e linjës, në nivel lokal dhe qendror të koordinimit vazhdoi </w:t>
      </w:r>
      <w:r w:rsidR="00873D36" w:rsidRPr="007922E5">
        <w:rPr>
          <w:rFonts w:ascii="Times New Roman" w:hAnsi="Times New Roman" w:cs="Times New Roman"/>
          <w:sz w:val="24"/>
          <w:szCs w:val="24"/>
        </w:rPr>
        <w:t xml:space="preserve">lehtësisht </w:t>
      </w:r>
      <w:r w:rsidRPr="007922E5">
        <w:rPr>
          <w:rFonts w:ascii="Times New Roman" w:hAnsi="Times New Roman" w:cs="Times New Roman"/>
          <w:sz w:val="24"/>
          <w:szCs w:val="24"/>
        </w:rPr>
        <w:t xml:space="preserve">të rritet. Rekrutimi i stafit në Drejtorinë e Përgjithshme Antikorrupsion në Ministrinë e Drejtësisë </w:t>
      </w:r>
      <w:r w:rsidR="00873D36" w:rsidRPr="007D0EA3">
        <w:rPr>
          <w:rFonts w:ascii="Times New Roman" w:hAnsi="Times New Roman" w:cs="Times New Roman"/>
          <w:b/>
          <w:bCs/>
          <w:i/>
          <w:iCs/>
          <w:sz w:val="24"/>
          <w:szCs w:val="24"/>
        </w:rPr>
        <w:t>ende duhet t</w:t>
      </w:r>
      <w:r w:rsidR="00AE0C0D" w:rsidRPr="007D0EA3">
        <w:rPr>
          <w:rFonts w:ascii="Times New Roman" w:hAnsi="Times New Roman" w:cs="Times New Roman"/>
          <w:b/>
          <w:bCs/>
          <w:i/>
          <w:iCs/>
          <w:sz w:val="24"/>
          <w:szCs w:val="24"/>
        </w:rPr>
        <w:t>ë</w:t>
      </w:r>
      <w:r w:rsidR="00873D36" w:rsidRPr="007D0EA3">
        <w:rPr>
          <w:rFonts w:ascii="Times New Roman" w:hAnsi="Times New Roman" w:cs="Times New Roman"/>
          <w:b/>
          <w:bCs/>
          <w:i/>
          <w:iCs/>
          <w:sz w:val="24"/>
          <w:szCs w:val="24"/>
        </w:rPr>
        <w:t xml:space="preserve"> plot</w:t>
      </w:r>
      <w:r w:rsidR="00AE0C0D" w:rsidRPr="007D0EA3">
        <w:rPr>
          <w:rFonts w:ascii="Times New Roman" w:hAnsi="Times New Roman" w:cs="Times New Roman"/>
          <w:b/>
          <w:bCs/>
          <w:i/>
          <w:iCs/>
          <w:sz w:val="24"/>
          <w:szCs w:val="24"/>
        </w:rPr>
        <w:t>ë</w:t>
      </w:r>
      <w:r w:rsidR="00873D36" w:rsidRPr="007D0EA3">
        <w:rPr>
          <w:rFonts w:ascii="Times New Roman" w:hAnsi="Times New Roman" w:cs="Times New Roman"/>
          <w:b/>
          <w:bCs/>
          <w:i/>
          <w:iCs/>
          <w:sz w:val="24"/>
          <w:szCs w:val="24"/>
        </w:rPr>
        <w:t>sohet</w:t>
      </w:r>
      <w:r w:rsidR="00873D36" w:rsidRPr="007922E5">
        <w:rPr>
          <w:rFonts w:ascii="Times New Roman" w:hAnsi="Times New Roman" w:cs="Times New Roman"/>
          <w:sz w:val="24"/>
          <w:szCs w:val="24"/>
        </w:rPr>
        <w:t>.</w:t>
      </w:r>
      <w:r w:rsidRPr="007922E5">
        <w:rPr>
          <w:rFonts w:ascii="Times New Roman" w:hAnsi="Times New Roman" w:cs="Times New Roman"/>
          <w:sz w:val="24"/>
          <w:szCs w:val="24"/>
        </w:rPr>
        <w:t xml:space="preserve"> </w:t>
      </w:r>
      <w:r w:rsidRPr="007922E5">
        <w:rPr>
          <w:rFonts w:ascii="Times New Roman" w:hAnsi="Times New Roman" w:cs="Times New Roman"/>
          <w:b/>
          <w:sz w:val="24"/>
          <w:szCs w:val="24"/>
        </w:rPr>
        <w:t xml:space="preserve">Rrjeti i koordinatorëve kundër korrupsionit </w:t>
      </w:r>
      <w:r w:rsidRPr="007922E5">
        <w:rPr>
          <w:rFonts w:ascii="Times New Roman" w:hAnsi="Times New Roman" w:cs="Times New Roman"/>
          <w:sz w:val="24"/>
          <w:szCs w:val="24"/>
        </w:rPr>
        <w:t xml:space="preserve">në nivel kombëtar dhe rajonal është rritur në 78 </w:t>
      </w:r>
      <w:r w:rsidR="00185492" w:rsidRPr="007922E5">
        <w:rPr>
          <w:rFonts w:ascii="Times New Roman" w:hAnsi="Times New Roman" w:cs="Times New Roman"/>
          <w:sz w:val="24"/>
          <w:szCs w:val="24"/>
        </w:rPr>
        <w:t xml:space="preserve">koordinatorë në 44 institucione </w:t>
      </w:r>
      <w:r w:rsidRPr="007922E5">
        <w:rPr>
          <w:rFonts w:ascii="Times New Roman" w:hAnsi="Times New Roman" w:cs="Times New Roman"/>
          <w:sz w:val="24"/>
          <w:szCs w:val="24"/>
        </w:rPr>
        <w:t>shtetërore.</w:t>
      </w:r>
      <w:r w:rsidR="00873D36" w:rsidRPr="007922E5">
        <w:rPr>
          <w:rFonts w:ascii="Times New Roman" w:hAnsi="Times New Roman" w:cs="Times New Roman"/>
          <w:sz w:val="24"/>
          <w:szCs w:val="24"/>
        </w:rPr>
        <w:t xml:space="preserve"> </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b/>
          <w:sz w:val="24"/>
          <w:szCs w:val="24"/>
        </w:rPr>
        <w:t xml:space="preserve">ILDKPKI </w:t>
      </w:r>
      <w:r w:rsidRPr="007922E5">
        <w:rPr>
          <w:rFonts w:ascii="Times New Roman" w:hAnsi="Times New Roman" w:cs="Times New Roman"/>
          <w:sz w:val="24"/>
          <w:szCs w:val="24"/>
        </w:rPr>
        <w:t xml:space="preserve">ka bërë progres në punën e saj duke krijuar një </w:t>
      </w:r>
      <w:r w:rsidRPr="007922E5">
        <w:rPr>
          <w:rFonts w:ascii="Times New Roman" w:hAnsi="Times New Roman" w:cs="Times New Roman"/>
          <w:b/>
          <w:sz w:val="24"/>
          <w:szCs w:val="24"/>
        </w:rPr>
        <w:t>Sistemi Elektronik të Deklarimit të Pasurive dhe të Interesave Private</w:t>
      </w:r>
      <w:r w:rsidRPr="007922E5">
        <w:rPr>
          <w:rFonts w:ascii="Times New Roman" w:hAnsi="Times New Roman" w:cs="Times New Roman"/>
          <w:sz w:val="24"/>
          <w:szCs w:val="24"/>
        </w:rPr>
        <w:t xml:space="preserve">, i cili tashmë është plotësisht funksional. ILDKPKI ka shtyrë afatin për dorëzimin e deklaratave deri në </w:t>
      </w:r>
      <w:r w:rsidR="00185492" w:rsidRPr="007922E5">
        <w:rPr>
          <w:rFonts w:ascii="Times New Roman" w:hAnsi="Times New Roman" w:cs="Times New Roman"/>
          <w:sz w:val="24"/>
          <w:szCs w:val="24"/>
        </w:rPr>
        <w:t>T</w:t>
      </w:r>
      <w:r w:rsidRPr="007922E5">
        <w:rPr>
          <w:rFonts w:ascii="Times New Roman" w:hAnsi="Times New Roman" w:cs="Times New Roman"/>
          <w:sz w:val="24"/>
          <w:szCs w:val="24"/>
        </w:rPr>
        <w:t>etor 2022, ndërsa ka ofruar trajnime për të interesuarit</w:t>
      </w:r>
      <w:r w:rsidR="00185492" w:rsidRPr="007922E5">
        <w:rPr>
          <w:rFonts w:ascii="Times New Roman" w:hAnsi="Times New Roman" w:cs="Times New Roman"/>
          <w:sz w:val="24"/>
          <w:szCs w:val="24"/>
        </w:rPr>
        <w:t xml:space="preserve"> për sistemin</w:t>
      </w:r>
      <w:r w:rsidRPr="007922E5">
        <w:rPr>
          <w:rFonts w:ascii="Times New Roman" w:hAnsi="Times New Roman" w:cs="Times New Roman"/>
          <w:sz w:val="24"/>
          <w:szCs w:val="24"/>
        </w:rPr>
        <w:t>.</w:t>
      </w:r>
    </w:p>
    <w:p w:rsidR="00972E2B" w:rsidRPr="007922E5" w:rsidRDefault="00972E2B"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Brenda kuadrit të përgjithshëm kundër korrupsionit, roli i Kontrollit të Lartë të Shtetit mbetet të japë rekomandime për qeverinë për të adresuar dobësitë sistematike. Sistemet e prokurimit elektronik, e-apelimit dhe e-ankesave ndihmuan në rritjen e transparencës në fushën e prokurimit publik. Në </w:t>
      </w:r>
      <w:r w:rsidR="00185492" w:rsidRPr="007922E5">
        <w:rPr>
          <w:rFonts w:ascii="Times New Roman" w:hAnsi="Times New Roman" w:cs="Times New Roman"/>
          <w:sz w:val="24"/>
          <w:szCs w:val="24"/>
        </w:rPr>
        <w:t>P</w:t>
      </w:r>
      <w:r w:rsidRPr="007922E5">
        <w:rPr>
          <w:rFonts w:ascii="Times New Roman" w:hAnsi="Times New Roman" w:cs="Times New Roman"/>
          <w:sz w:val="24"/>
          <w:szCs w:val="24"/>
        </w:rPr>
        <w:t xml:space="preserve">rill </w:t>
      </w:r>
      <w:r w:rsidR="00185492" w:rsidRPr="007922E5">
        <w:rPr>
          <w:rFonts w:ascii="Times New Roman" w:hAnsi="Times New Roman" w:cs="Times New Roman"/>
          <w:sz w:val="24"/>
          <w:szCs w:val="24"/>
        </w:rPr>
        <w:t xml:space="preserve"> </w:t>
      </w:r>
      <w:r w:rsidRPr="007922E5">
        <w:rPr>
          <w:rFonts w:ascii="Times New Roman" w:hAnsi="Times New Roman" w:cs="Times New Roman"/>
          <w:sz w:val="24"/>
          <w:szCs w:val="24"/>
        </w:rPr>
        <w:t>2022, Ministria e Drejtësisë paraqiti raportin e saj të vetëvlerësimit të përputhshmërisë në Grupin e Shteteve të Këshillit të Evropës kundër Korrupsionit (GRECO), si vazhdim i raportit të parë të GRECO-s për raundin e pestë. Raporti trajton parandalimin e korrupsionit dhe promovimin e integritetit në qeverinë qendrore dhe agjencitë e zbatimit të ligjit dhe rendit</w:t>
      </w:r>
      <w:r w:rsidR="00185492" w:rsidRPr="007922E5">
        <w:rPr>
          <w:rFonts w:ascii="Times New Roman" w:hAnsi="Times New Roman" w:cs="Times New Roman"/>
          <w:sz w:val="24"/>
          <w:szCs w:val="24"/>
        </w:rPr>
        <w:t>i</w:t>
      </w:r>
      <w:r w:rsidRPr="007922E5">
        <w:rPr>
          <w:rFonts w:ascii="Times New Roman" w:hAnsi="Times New Roman" w:cs="Times New Roman"/>
          <w:sz w:val="24"/>
          <w:szCs w:val="24"/>
        </w:rPr>
        <w:t xml:space="preserve"> 24 rekomandime për Shqipërinë. 12 institucionet dhe agjencitë në varësi të Ministrisë së Drejtësisë kanë finalizuar procesin e vlerësimit të rrezikut të integritetit dhe kanë miratuar planet e tyre të integritetit. Krahas Ministrisë së Drejtësisë, planet e tyre të integritetit kanë miratuar edhe Ministria e Brendshme dhe Ministria e Financave dhe Ekonomisë.</w:t>
      </w:r>
    </w:p>
    <w:p w:rsidR="00972E2B" w:rsidRPr="007D0EA3" w:rsidRDefault="00972E2B"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Në </w:t>
      </w:r>
      <w:r w:rsidR="00185492" w:rsidRPr="007922E5">
        <w:rPr>
          <w:rFonts w:ascii="Times New Roman" w:hAnsi="Times New Roman" w:cs="Times New Roman"/>
          <w:sz w:val="24"/>
          <w:szCs w:val="24"/>
        </w:rPr>
        <w:t>N</w:t>
      </w:r>
      <w:r w:rsidRPr="007922E5">
        <w:rPr>
          <w:rFonts w:ascii="Times New Roman" w:hAnsi="Times New Roman" w:cs="Times New Roman"/>
          <w:sz w:val="24"/>
          <w:szCs w:val="24"/>
        </w:rPr>
        <w:t xml:space="preserve">ëntor 2021, Parlamenti miratoi </w:t>
      </w:r>
      <w:r w:rsidRPr="007922E5">
        <w:rPr>
          <w:rFonts w:ascii="Times New Roman" w:hAnsi="Times New Roman" w:cs="Times New Roman"/>
          <w:b/>
          <w:sz w:val="24"/>
          <w:szCs w:val="24"/>
        </w:rPr>
        <w:t>ligjin për bashkëqeverisjen</w:t>
      </w:r>
      <w:r w:rsidRPr="007922E5">
        <w:rPr>
          <w:rFonts w:ascii="Times New Roman" w:hAnsi="Times New Roman" w:cs="Times New Roman"/>
          <w:sz w:val="24"/>
          <w:szCs w:val="24"/>
        </w:rPr>
        <w:t xml:space="preserve">, i cili i dha Agjencisë për Dialog dhe Bashkëqeverisje kompetenca të reja thelbësore (shih më lart për Reformën e Administratës Publike). Meqenëse Agjencia është gjithashtu e mandatuar të ndjekë ankesat për korrupsion, ndërveprimi i saj me rrjetin e koordinatorëve kundër korrupsionit </w:t>
      </w:r>
      <w:r w:rsidRPr="007D0EA3">
        <w:rPr>
          <w:rFonts w:ascii="Times New Roman" w:hAnsi="Times New Roman" w:cs="Times New Roman"/>
          <w:b/>
          <w:bCs/>
          <w:i/>
          <w:iCs/>
          <w:sz w:val="24"/>
          <w:szCs w:val="24"/>
        </w:rPr>
        <w:t>dhe ndarja e roleve midis dy organizatave duhet të qartësohet.</w:t>
      </w:r>
    </w:p>
    <w:p w:rsidR="0082356E" w:rsidRPr="007922E5" w:rsidRDefault="0082356E" w:rsidP="00E31BC3">
      <w:pPr>
        <w:jc w:val="both"/>
        <w:rPr>
          <w:rFonts w:ascii="Times New Roman" w:hAnsi="Times New Roman" w:cs="Times New Roman"/>
          <w:i/>
          <w:sz w:val="24"/>
          <w:szCs w:val="24"/>
        </w:rPr>
      </w:pPr>
      <w:r w:rsidRPr="007922E5">
        <w:rPr>
          <w:rFonts w:ascii="Times New Roman" w:hAnsi="Times New Roman" w:cs="Times New Roman"/>
          <w:i/>
          <w:sz w:val="24"/>
          <w:szCs w:val="24"/>
        </w:rPr>
        <w:t>Zbatimi i ligjit</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Organet e specializuara të ngarkuara me hetimin, ndjekjen dhe gjykimin e çështjeve komplekse të korrupsionit – Gjykatat Kundër Korrupsionit dhe Krimit të Organizuar dhe SPAK, të përbërë nga Prokuroria e Posaçme (SPO) dhe Byroja Kombëtare e Hetimit (BK</w:t>
      </w:r>
      <w:r w:rsidR="00FD32F1">
        <w:rPr>
          <w:rFonts w:ascii="Times New Roman" w:hAnsi="Times New Roman" w:cs="Times New Roman"/>
          <w:sz w:val="24"/>
          <w:szCs w:val="24"/>
        </w:rPr>
        <w:t>H</w:t>
      </w:r>
      <w:r w:rsidRPr="007922E5">
        <w:rPr>
          <w:rFonts w:ascii="Times New Roman" w:hAnsi="Times New Roman" w:cs="Times New Roman"/>
          <w:sz w:val="24"/>
          <w:szCs w:val="24"/>
        </w:rPr>
        <w:t>) – mbetën plotësisht funksionale gjatë periudh</w:t>
      </w:r>
      <w:r w:rsidR="00AE0C0D" w:rsidRPr="007922E5">
        <w:rPr>
          <w:rFonts w:ascii="Times New Roman" w:hAnsi="Times New Roman" w:cs="Times New Roman"/>
          <w:sz w:val="24"/>
          <w:szCs w:val="24"/>
        </w:rPr>
        <w:t>ë</w:t>
      </w:r>
      <w:r w:rsidR="00A55AD9" w:rsidRPr="007922E5">
        <w:rPr>
          <w:rFonts w:ascii="Times New Roman" w:hAnsi="Times New Roman" w:cs="Times New Roman"/>
          <w:sz w:val="24"/>
          <w:szCs w:val="24"/>
        </w:rPr>
        <w:t>s</w:t>
      </w:r>
      <w:r w:rsidRPr="007922E5">
        <w:rPr>
          <w:rFonts w:ascii="Times New Roman" w:hAnsi="Times New Roman" w:cs="Times New Roman"/>
          <w:sz w:val="24"/>
          <w:szCs w:val="24"/>
        </w:rPr>
        <w:t xml:space="preserve"> raportuese.</w:t>
      </w:r>
    </w:p>
    <w:p w:rsidR="0082356E" w:rsidRPr="007922E5" w:rsidRDefault="0082356E" w:rsidP="00E31BC3">
      <w:pPr>
        <w:jc w:val="both"/>
        <w:rPr>
          <w:rFonts w:ascii="Times New Roman" w:hAnsi="Times New Roman" w:cs="Times New Roman"/>
          <w:sz w:val="24"/>
          <w:szCs w:val="24"/>
          <w:u w:val="single"/>
        </w:rPr>
      </w:pPr>
      <w:r w:rsidRPr="007922E5">
        <w:rPr>
          <w:rFonts w:ascii="Times New Roman" w:hAnsi="Times New Roman" w:cs="Times New Roman"/>
          <w:sz w:val="24"/>
          <w:szCs w:val="24"/>
          <w:u w:val="single"/>
        </w:rPr>
        <w:t>Kuadri ligjor</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Shqipëria mbetet palë e të gjitha konventave ndërkombëtare kundër korrupsionit, përfshirë Konventën e Kombeve të Bashkuara kundër Korrupsionit. Ajo ka vazhduar të përmirësojë kuadrin e saj ligjor për parandalimin dhe luftimin e korrupsionit.</w:t>
      </w:r>
    </w:p>
    <w:p w:rsidR="0082356E" w:rsidRPr="00A85F33" w:rsidRDefault="0082356E" w:rsidP="00E31BC3">
      <w:pPr>
        <w:jc w:val="both"/>
        <w:rPr>
          <w:rFonts w:ascii="Times New Roman" w:hAnsi="Times New Roman" w:cs="Times New Roman"/>
          <w:b/>
          <w:bCs/>
          <w:i/>
          <w:iCs/>
          <w:sz w:val="24"/>
          <w:szCs w:val="24"/>
        </w:rPr>
      </w:pPr>
      <w:r w:rsidRPr="00FD32F1">
        <w:rPr>
          <w:rFonts w:ascii="Times New Roman" w:hAnsi="Times New Roman" w:cs="Times New Roman"/>
          <w:b/>
          <w:bCs/>
          <w:i/>
          <w:iCs/>
          <w:sz w:val="24"/>
          <w:szCs w:val="24"/>
        </w:rPr>
        <w:t>Parlamenti shqiptar duhet ende të miratojë një ligj të unifikuar për financimin e partive politike dhe fushatave, si dhe të adresojë rekomandimet e mbetura të OSBE/ODIHR.</w:t>
      </w:r>
      <w:r w:rsidRPr="007922E5">
        <w:rPr>
          <w:rFonts w:ascii="Times New Roman" w:hAnsi="Times New Roman" w:cs="Times New Roman"/>
          <w:sz w:val="24"/>
          <w:szCs w:val="24"/>
        </w:rPr>
        <w:t xml:space="preserve"> </w:t>
      </w:r>
      <w:r w:rsidRPr="00A85F33">
        <w:rPr>
          <w:rFonts w:ascii="Times New Roman" w:hAnsi="Times New Roman" w:cs="Times New Roman"/>
          <w:b/>
          <w:bCs/>
          <w:i/>
          <w:iCs/>
          <w:sz w:val="24"/>
          <w:szCs w:val="24"/>
        </w:rPr>
        <w:t xml:space="preserve">Ndërsa fushatat elektorale po </w:t>
      </w:r>
      <w:r w:rsidR="00A85F33" w:rsidRPr="00A85F33">
        <w:rPr>
          <w:rFonts w:ascii="Times New Roman" w:hAnsi="Times New Roman" w:cs="Times New Roman"/>
          <w:b/>
          <w:bCs/>
          <w:i/>
          <w:iCs/>
          <w:sz w:val="24"/>
          <w:szCs w:val="24"/>
        </w:rPr>
        <w:t>zhvendosen</w:t>
      </w:r>
      <w:r w:rsidRPr="00A85F33">
        <w:rPr>
          <w:rFonts w:ascii="Times New Roman" w:hAnsi="Times New Roman" w:cs="Times New Roman"/>
          <w:b/>
          <w:bCs/>
          <w:i/>
          <w:iCs/>
          <w:sz w:val="24"/>
          <w:szCs w:val="24"/>
        </w:rPr>
        <w:t xml:space="preserve"> gjithnjë e më shumë në internet, vëmendje e veçantë duhet t'i kushtohet fushatës online dhe fushatës së palëve të treta.</w:t>
      </w:r>
    </w:p>
    <w:p w:rsidR="0082356E" w:rsidRPr="00A85F33" w:rsidRDefault="0082356E" w:rsidP="00E31BC3">
      <w:pPr>
        <w:jc w:val="both"/>
        <w:rPr>
          <w:rFonts w:ascii="Times New Roman" w:hAnsi="Times New Roman" w:cs="Times New Roman"/>
          <w:b/>
          <w:bCs/>
          <w:i/>
          <w:iCs/>
          <w:sz w:val="24"/>
          <w:szCs w:val="24"/>
        </w:rPr>
      </w:pPr>
      <w:r w:rsidRPr="00A85F33">
        <w:rPr>
          <w:rFonts w:ascii="Times New Roman" w:hAnsi="Times New Roman" w:cs="Times New Roman"/>
          <w:b/>
          <w:bCs/>
          <w:i/>
          <w:iCs/>
          <w:sz w:val="24"/>
          <w:szCs w:val="24"/>
        </w:rPr>
        <w:lastRenderedPageBreak/>
        <w:t>Shqetësimet për keqpërdorimin e burimeve shtetërore gjatë fushatave elektorale vazhdojnë.</w:t>
      </w:r>
      <w:r w:rsidRPr="007922E5">
        <w:rPr>
          <w:rFonts w:ascii="Times New Roman" w:hAnsi="Times New Roman" w:cs="Times New Roman"/>
          <w:sz w:val="24"/>
          <w:szCs w:val="24"/>
        </w:rPr>
        <w:t xml:space="preserve"> Komisioni Qendror i Zgjedhjeve gjobiti kryetaren e Bashkisë së Durrësit për përdorimin e burimeve publike gjatë fushatës së saj elektorale për zgjedhjet e pjesshme të </w:t>
      </w:r>
      <w:r w:rsidR="00A55AD9" w:rsidRPr="007922E5">
        <w:rPr>
          <w:rFonts w:ascii="Times New Roman" w:hAnsi="Times New Roman" w:cs="Times New Roman"/>
          <w:sz w:val="24"/>
          <w:szCs w:val="24"/>
        </w:rPr>
        <w:t>M</w:t>
      </w:r>
      <w:r w:rsidRPr="007922E5">
        <w:rPr>
          <w:rFonts w:ascii="Times New Roman" w:hAnsi="Times New Roman" w:cs="Times New Roman"/>
          <w:sz w:val="24"/>
          <w:szCs w:val="24"/>
        </w:rPr>
        <w:t>arsit 2022</w:t>
      </w:r>
      <w:r w:rsidRPr="00A85F33">
        <w:rPr>
          <w:rFonts w:ascii="Times New Roman" w:hAnsi="Times New Roman" w:cs="Times New Roman"/>
          <w:b/>
          <w:bCs/>
          <w:i/>
          <w:iCs/>
          <w:sz w:val="24"/>
          <w:szCs w:val="24"/>
        </w:rPr>
        <w:t xml:space="preserve">. Incidente të tilla dhe të tjera që lidhen me praktikat e blerjes së votave në zgjedhjet e </w:t>
      </w:r>
      <w:r w:rsidR="00A55AD9" w:rsidRPr="00A85F33">
        <w:rPr>
          <w:rFonts w:ascii="Times New Roman" w:hAnsi="Times New Roman" w:cs="Times New Roman"/>
          <w:b/>
          <w:bCs/>
          <w:i/>
          <w:iCs/>
          <w:sz w:val="24"/>
          <w:szCs w:val="24"/>
        </w:rPr>
        <w:t>P</w:t>
      </w:r>
      <w:r w:rsidRPr="00A85F33">
        <w:rPr>
          <w:rFonts w:ascii="Times New Roman" w:hAnsi="Times New Roman" w:cs="Times New Roman"/>
          <w:b/>
          <w:bCs/>
          <w:i/>
          <w:iCs/>
          <w:sz w:val="24"/>
          <w:szCs w:val="24"/>
        </w:rPr>
        <w:t>rillit 2021, konfirmuan nevojën për financime më transparente të partive politike në përputhje me standardet ndërkombëtare dhe evropiane.</w:t>
      </w:r>
    </w:p>
    <w:p w:rsidR="0082356E" w:rsidRPr="00A85F33" w:rsidRDefault="0082356E" w:rsidP="00E31BC3">
      <w:pPr>
        <w:jc w:val="both"/>
        <w:rPr>
          <w:rFonts w:ascii="Times New Roman" w:hAnsi="Times New Roman" w:cs="Times New Roman"/>
          <w:i/>
          <w:iCs/>
          <w:sz w:val="24"/>
          <w:szCs w:val="24"/>
        </w:rPr>
      </w:pPr>
      <w:r w:rsidRPr="00A85F33">
        <w:rPr>
          <w:rFonts w:ascii="Times New Roman" w:hAnsi="Times New Roman" w:cs="Times New Roman"/>
          <w:i/>
          <w:iCs/>
          <w:sz w:val="24"/>
          <w:szCs w:val="24"/>
        </w:rPr>
        <w:t>Legjislacioni i Shqipërisë është pjesërisht në përputhje me Konventën e OECD-së për Luftën kundër ryshfetit të zyrtarëve publikë të huaj në transaksionet e biznesit ndërkombëtar.</w:t>
      </w:r>
    </w:p>
    <w:p w:rsidR="0082356E" w:rsidRPr="007922E5" w:rsidRDefault="0082356E" w:rsidP="00E31BC3">
      <w:pPr>
        <w:jc w:val="both"/>
        <w:rPr>
          <w:rFonts w:ascii="Times New Roman" w:hAnsi="Times New Roman" w:cs="Times New Roman"/>
          <w:sz w:val="24"/>
          <w:szCs w:val="24"/>
          <w:u w:val="single"/>
        </w:rPr>
      </w:pPr>
      <w:r w:rsidRPr="007922E5">
        <w:rPr>
          <w:rFonts w:ascii="Times New Roman" w:hAnsi="Times New Roman" w:cs="Times New Roman"/>
          <w:sz w:val="24"/>
          <w:szCs w:val="24"/>
          <w:u w:val="single"/>
        </w:rPr>
        <w:t>Kuadri strategjik</w:t>
      </w:r>
    </w:p>
    <w:p w:rsidR="00972E2B"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Në përgjithësi, zbatimi i strategjisë ndërsektoriale kundër korrupsionit është ende në rrugën e duhur. </w:t>
      </w:r>
      <w:r w:rsidRPr="0026302D">
        <w:rPr>
          <w:rFonts w:ascii="Times New Roman" w:hAnsi="Times New Roman" w:cs="Times New Roman"/>
          <w:b/>
          <w:bCs/>
          <w:i/>
          <w:iCs/>
          <w:sz w:val="24"/>
          <w:szCs w:val="24"/>
        </w:rPr>
        <w:t>Megjithatë, dobësitë në lidhje me nevojën për të përmirësuar pronësinë</w:t>
      </w:r>
      <w:r w:rsidR="0026302D">
        <w:rPr>
          <w:rFonts w:ascii="Times New Roman" w:hAnsi="Times New Roman" w:cs="Times New Roman"/>
          <w:b/>
          <w:bCs/>
          <w:i/>
          <w:iCs/>
          <w:sz w:val="24"/>
          <w:szCs w:val="24"/>
        </w:rPr>
        <w:t xml:space="preserve"> ndaj procesit</w:t>
      </w:r>
      <w:r w:rsidRPr="0026302D">
        <w:rPr>
          <w:rFonts w:ascii="Times New Roman" w:hAnsi="Times New Roman" w:cs="Times New Roman"/>
          <w:b/>
          <w:bCs/>
          <w:i/>
          <w:iCs/>
          <w:sz w:val="24"/>
          <w:szCs w:val="24"/>
        </w:rPr>
        <w:t>, për të forcuar kapacitetet institucionale dhe për të rritur buxhetin për aktivitetet e strategjisë janë ende të pranishme.</w:t>
      </w:r>
      <w:r w:rsidRPr="007922E5">
        <w:rPr>
          <w:rFonts w:ascii="Times New Roman" w:hAnsi="Times New Roman" w:cs="Times New Roman"/>
          <w:sz w:val="24"/>
          <w:szCs w:val="24"/>
        </w:rPr>
        <w:t xml:space="preserve"> Megjithëse strategjia </w:t>
      </w:r>
      <w:r w:rsidRPr="0026302D">
        <w:rPr>
          <w:rFonts w:ascii="Times New Roman" w:hAnsi="Times New Roman" w:cs="Times New Roman"/>
          <w:b/>
          <w:bCs/>
          <w:i/>
          <w:iCs/>
          <w:sz w:val="24"/>
          <w:szCs w:val="24"/>
        </w:rPr>
        <w:t>përfshin tregues monitorimi, ndikimi i strukturave anti-korrupsion në parandalimin e korrupsionit në sektorin publik mbetet i vështirë për t'u matur</w:t>
      </w:r>
      <w:r w:rsidRPr="007922E5">
        <w:rPr>
          <w:rFonts w:ascii="Times New Roman" w:hAnsi="Times New Roman" w:cs="Times New Roman"/>
          <w:sz w:val="24"/>
          <w:szCs w:val="24"/>
        </w:rPr>
        <w:t>. Plani i veprimit 2022-2023 për zbatimin e strategjisë së zgjeruar mbetet në fuqi. Konsultimet me palët përkatëse të interesit përpara miratimit të raporteve janë përmirësuar, duke përfshirë përdorimin e platformës së konsultimit publik. Është bërë njëfarë progresi në rritjen e ndërgjegjësimit dhe përpjekjet në këtë fushë duhet të vazhdojnë.</w:t>
      </w:r>
    </w:p>
    <w:p w:rsidR="0082356E" w:rsidRPr="007922E5" w:rsidRDefault="0082356E" w:rsidP="00E31BC3">
      <w:pPr>
        <w:jc w:val="both"/>
        <w:rPr>
          <w:rFonts w:ascii="Times New Roman" w:hAnsi="Times New Roman" w:cs="Times New Roman"/>
          <w:b/>
          <w:sz w:val="24"/>
          <w:szCs w:val="24"/>
        </w:rPr>
      </w:pPr>
      <w:r w:rsidRPr="007922E5">
        <w:rPr>
          <w:rFonts w:ascii="Times New Roman" w:hAnsi="Times New Roman" w:cs="Times New Roman"/>
          <w:b/>
          <w:sz w:val="24"/>
          <w:szCs w:val="24"/>
        </w:rPr>
        <w:t>Të drejtat themelore</w:t>
      </w:r>
    </w:p>
    <w:p w:rsidR="0082356E" w:rsidRPr="007922E5" w:rsidRDefault="0082356E" w:rsidP="003C6800">
      <w:p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t>Shqipëria në përgjithësi zbaton instrumentet ndërkombëtare të të drejtave të njeriut dhe ka ratifikuar shumicën e konventave ndërkombëtare për mbrojtjen e të drejtave themelore. Gjatë periudhës raportuese, është bërë njëfarë progresi, veçanërisht me miratimin e një plani kombëtar veprimi të ri dhe më të mirë buxhetor për personat LGBTIQ, një strategji kombëtare për barazinë gjinore dhe një plan kombëtar veprimi për barazinë, përfshirjen dhe pjesëmarrjen e romëve dhe egjiptianëve në Shqipëri</w:t>
      </w:r>
      <w:r w:rsidR="00763C53" w:rsidRPr="007922E5">
        <w:rPr>
          <w:rFonts w:ascii="Times New Roman" w:hAnsi="Times New Roman" w:cs="Times New Roman"/>
          <w:sz w:val="24"/>
          <w:szCs w:val="24"/>
        </w:rPr>
        <w:t>.</w:t>
      </w:r>
      <w:r w:rsidRPr="007922E5">
        <w:rPr>
          <w:rFonts w:ascii="Times New Roman" w:hAnsi="Times New Roman" w:cs="Times New Roman"/>
          <w:sz w:val="24"/>
          <w:szCs w:val="24"/>
        </w:rPr>
        <w:t xml:space="preserve"> Përdorimi i alternativave ndaj paraburgimit dhe, në veçanti, shërbimi i provës kanë bërë gjithashtu një përparim. Për të drejtat pronësore, regjistrimi dhe dixhitalizimi i të dhënave kadastrale vazhdoi, por me ritme të ngadalta. </w:t>
      </w:r>
      <w:r w:rsidRPr="003C6800">
        <w:rPr>
          <w:rFonts w:ascii="Times New Roman" w:hAnsi="Times New Roman" w:cs="Times New Roman"/>
          <w:b/>
          <w:bCs/>
          <w:i/>
          <w:iCs/>
          <w:sz w:val="24"/>
          <w:szCs w:val="24"/>
        </w:rPr>
        <w:t>Procesi i kompensimit për pronat e shpronësuara padrejtësisht gjatë periudhës komuniste është ngadalësuar gjatë vitit, në pritje të ndryshimeve në legjislacion. Sektori mbetet i prirur ndaj korrupsionit. Përpjekjet duhet të intensifikohen, duke përfshirë plotësimin e kuadrit legjislativ dhe duke bërë progres të mëtejshëm në proceset e regjistrimit të parë dhe të kompensimit</w:t>
      </w:r>
      <w:r w:rsidRPr="007922E5">
        <w:rPr>
          <w:rFonts w:ascii="Times New Roman" w:hAnsi="Times New Roman" w:cs="Times New Roman"/>
          <w:sz w:val="24"/>
          <w:szCs w:val="24"/>
        </w:rPr>
        <w:t>. Për mbrojtjen e pakicave kombëtare, u miratua një pjesë shtesë e legjislacionit zbatues dhe vazhduan përgatitjet për regjistrimin e shumëpritur të popullsisë. Megjithatë, miratimi i legjislacionit zbatues për çështjet më të ndjeshme është ende në pritje dhe regjistrimi i popullsisë dhe banesave u shty për në vitin 2023. Për mbrojtjen e të dhënave personale, Shqipëria duhet të marrë masa për të parandaluar përsëritjen e shkeljeve masive të të dhënave personale dhe duhet të përshpejtojë përpjekjet për të përafruar legjislacionin e tij me Rregulloren e Përgjithshme të BE-së për Mbrojtjen e të Dhënave (GDPR). Në përgjithësi, rekomandimet nga viti i kaluar janë zbatuar pjesërisht.</w:t>
      </w:r>
    </w:p>
    <w:p w:rsidR="0082356E" w:rsidRPr="007922E5" w:rsidRDefault="0082356E" w:rsidP="003C6800">
      <w:pPr>
        <w:shd w:val="clear" w:color="auto" w:fill="AEAAAA" w:themeFill="background2" w:themeFillShade="BF"/>
        <w:jc w:val="both"/>
        <w:rPr>
          <w:rFonts w:ascii="Times New Roman" w:hAnsi="Times New Roman" w:cs="Times New Roman"/>
          <w:sz w:val="24"/>
          <w:szCs w:val="24"/>
        </w:rPr>
      </w:pPr>
      <w:r w:rsidRPr="003C6800">
        <w:rPr>
          <w:rFonts w:ascii="Times New Roman" w:hAnsi="Times New Roman" w:cs="Times New Roman"/>
          <w:b/>
          <w:bCs/>
          <w:sz w:val="24"/>
          <w:szCs w:val="24"/>
        </w:rPr>
        <w:t>Rekomandime për vitin e ardhshëm</w:t>
      </w:r>
      <w:r w:rsidRPr="007922E5">
        <w:rPr>
          <w:rFonts w:ascii="Times New Roman" w:hAnsi="Times New Roman" w:cs="Times New Roman"/>
          <w:sz w:val="24"/>
          <w:szCs w:val="24"/>
        </w:rPr>
        <w:t>:</w:t>
      </w:r>
    </w:p>
    <w:p w:rsidR="0082356E" w:rsidRPr="007922E5" w:rsidRDefault="005B7EFE" w:rsidP="003C6800">
      <w:pPr>
        <w:pStyle w:val="ListParagraph"/>
        <w:numPr>
          <w:ilvl w:val="0"/>
          <w:numId w:val="1"/>
        </w:num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lastRenderedPageBreak/>
        <w:t>T</w:t>
      </w:r>
      <w:r w:rsidR="00AE0C0D" w:rsidRPr="007922E5">
        <w:rPr>
          <w:rFonts w:ascii="Times New Roman" w:hAnsi="Times New Roman" w:cs="Times New Roman"/>
          <w:sz w:val="24"/>
          <w:szCs w:val="24"/>
        </w:rPr>
        <w:t>ë</w:t>
      </w:r>
      <w:r w:rsidRPr="007922E5">
        <w:rPr>
          <w:rFonts w:ascii="Times New Roman" w:hAnsi="Times New Roman" w:cs="Times New Roman"/>
          <w:sz w:val="24"/>
          <w:szCs w:val="24"/>
        </w:rPr>
        <w:t xml:space="preserve"> </w:t>
      </w:r>
      <w:r w:rsidR="0082356E" w:rsidRPr="007922E5">
        <w:rPr>
          <w:rFonts w:ascii="Times New Roman" w:hAnsi="Times New Roman" w:cs="Times New Roman"/>
          <w:sz w:val="24"/>
          <w:szCs w:val="24"/>
        </w:rPr>
        <w:t>mirato</w:t>
      </w:r>
      <w:r w:rsidRPr="007922E5">
        <w:rPr>
          <w:rFonts w:ascii="Times New Roman" w:hAnsi="Times New Roman" w:cs="Times New Roman"/>
          <w:sz w:val="24"/>
          <w:szCs w:val="24"/>
        </w:rPr>
        <w:t>j</w:t>
      </w:r>
      <w:r w:rsidR="00AE0C0D" w:rsidRPr="007922E5">
        <w:rPr>
          <w:rFonts w:ascii="Times New Roman" w:hAnsi="Times New Roman" w:cs="Times New Roman"/>
          <w:sz w:val="24"/>
          <w:szCs w:val="24"/>
        </w:rPr>
        <w:t>ë</w:t>
      </w:r>
      <w:r w:rsidR="0082356E" w:rsidRPr="007922E5">
        <w:rPr>
          <w:rFonts w:ascii="Times New Roman" w:hAnsi="Times New Roman" w:cs="Times New Roman"/>
          <w:sz w:val="24"/>
          <w:szCs w:val="24"/>
        </w:rPr>
        <w:t xml:space="preserve"> legjislacionin zbat</w:t>
      </w:r>
      <w:r w:rsidRPr="007922E5">
        <w:rPr>
          <w:rFonts w:ascii="Times New Roman" w:hAnsi="Times New Roman" w:cs="Times New Roman"/>
          <w:sz w:val="24"/>
          <w:szCs w:val="24"/>
        </w:rPr>
        <w:t>ues</w:t>
      </w:r>
      <w:r w:rsidR="0082356E" w:rsidRPr="007922E5">
        <w:rPr>
          <w:rFonts w:ascii="Times New Roman" w:hAnsi="Times New Roman" w:cs="Times New Roman"/>
          <w:sz w:val="24"/>
          <w:szCs w:val="24"/>
        </w:rPr>
        <w:t xml:space="preserve"> për të drejtat e pakicave, veçanërisht për vetëidentifikimin dhe përdorimin e gjuhëve të pakicave, si dhe rritjen e kapaciteteve të Komitetit Shtetëror për Pakicat Kombëtare;</w:t>
      </w:r>
    </w:p>
    <w:p w:rsidR="0082356E" w:rsidRPr="007922E5" w:rsidRDefault="005B7EFE" w:rsidP="003C6800">
      <w:pPr>
        <w:pStyle w:val="ListParagraph"/>
        <w:numPr>
          <w:ilvl w:val="0"/>
          <w:numId w:val="1"/>
        </w:num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t>T</w:t>
      </w:r>
      <w:r w:rsidR="00AE0C0D" w:rsidRPr="007922E5">
        <w:rPr>
          <w:rFonts w:ascii="Times New Roman" w:hAnsi="Times New Roman" w:cs="Times New Roman"/>
          <w:sz w:val="24"/>
          <w:szCs w:val="24"/>
        </w:rPr>
        <w:t>ë</w:t>
      </w:r>
      <w:r w:rsidRPr="007922E5">
        <w:rPr>
          <w:rFonts w:ascii="Times New Roman" w:hAnsi="Times New Roman" w:cs="Times New Roman"/>
          <w:sz w:val="24"/>
          <w:szCs w:val="24"/>
        </w:rPr>
        <w:t xml:space="preserve"> </w:t>
      </w:r>
      <w:r w:rsidR="0082356E" w:rsidRPr="007922E5">
        <w:rPr>
          <w:rFonts w:ascii="Times New Roman" w:hAnsi="Times New Roman" w:cs="Times New Roman"/>
          <w:sz w:val="24"/>
          <w:szCs w:val="24"/>
        </w:rPr>
        <w:t>alok</w:t>
      </w:r>
      <w:r w:rsidRPr="007922E5">
        <w:rPr>
          <w:rFonts w:ascii="Times New Roman" w:hAnsi="Times New Roman" w:cs="Times New Roman"/>
          <w:sz w:val="24"/>
          <w:szCs w:val="24"/>
        </w:rPr>
        <w:t>oj</w:t>
      </w:r>
      <w:r w:rsidR="00AE0C0D" w:rsidRPr="007922E5">
        <w:rPr>
          <w:rFonts w:ascii="Times New Roman" w:hAnsi="Times New Roman" w:cs="Times New Roman"/>
          <w:sz w:val="24"/>
          <w:szCs w:val="24"/>
        </w:rPr>
        <w:t>ë</w:t>
      </w:r>
      <w:r w:rsidR="0082356E" w:rsidRPr="007922E5">
        <w:rPr>
          <w:rFonts w:ascii="Times New Roman" w:hAnsi="Times New Roman" w:cs="Times New Roman"/>
          <w:sz w:val="24"/>
          <w:szCs w:val="24"/>
        </w:rPr>
        <w:t xml:space="preserve"> burime të mjaftueshme dhe finalizimi</w:t>
      </w:r>
      <w:r w:rsidRPr="007922E5">
        <w:rPr>
          <w:rFonts w:ascii="Times New Roman" w:hAnsi="Times New Roman" w:cs="Times New Roman"/>
          <w:sz w:val="24"/>
          <w:szCs w:val="24"/>
        </w:rPr>
        <w:t>n e</w:t>
      </w:r>
      <w:r w:rsidR="0082356E" w:rsidRPr="007922E5">
        <w:rPr>
          <w:rFonts w:ascii="Times New Roman" w:hAnsi="Times New Roman" w:cs="Times New Roman"/>
          <w:sz w:val="24"/>
          <w:szCs w:val="24"/>
        </w:rPr>
        <w:t xml:space="preserve"> kornizës ligjore, për të përfunduar proceset kalimtare në fushën e të drejtave pronësore dhe për të përmirësuar transparencën dhe cilësinë e regjistrit të pronave;</w:t>
      </w:r>
    </w:p>
    <w:p w:rsidR="0082356E" w:rsidRPr="007922E5" w:rsidRDefault="005B7EFE" w:rsidP="003C6800">
      <w:pPr>
        <w:pStyle w:val="ListParagraph"/>
        <w:numPr>
          <w:ilvl w:val="0"/>
          <w:numId w:val="1"/>
        </w:num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t>T</w:t>
      </w:r>
      <w:r w:rsidR="00AE0C0D" w:rsidRPr="007922E5">
        <w:rPr>
          <w:rFonts w:ascii="Times New Roman" w:hAnsi="Times New Roman" w:cs="Times New Roman"/>
          <w:sz w:val="24"/>
          <w:szCs w:val="24"/>
        </w:rPr>
        <w:t>ë</w:t>
      </w:r>
      <w:r w:rsidRPr="007922E5">
        <w:rPr>
          <w:rFonts w:ascii="Times New Roman" w:hAnsi="Times New Roman" w:cs="Times New Roman"/>
          <w:sz w:val="24"/>
          <w:szCs w:val="24"/>
        </w:rPr>
        <w:t xml:space="preserve"> p</w:t>
      </w:r>
      <w:r w:rsidR="00AE0C0D" w:rsidRPr="007922E5">
        <w:rPr>
          <w:rFonts w:ascii="Times New Roman" w:hAnsi="Times New Roman" w:cs="Times New Roman"/>
          <w:sz w:val="24"/>
          <w:szCs w:val="24"/>
        </w:rPr>
        <w:t>ë</w:t>
      </w:r>
      <w:r w:rsidR="0082356E" w:rsidRPr="007922E5">
        <w:rPr>
          <w:rFonts w:ascii="Times New Roman" w:hAnsi="Times New Roman" w:cs="Times New Roman"/>
          <w:sz w:val="24"/>
          <w:szCs w:val="24"/>
        </w:rPr>
        <w:t>rmirës</w:t>
      </w:r>
      <w:r w:rsidRPr="007922E5">
        <w:rPr>
          <w:rFonts w:ascii="Times New Roman" w:hAnsi="Times New Roman" w:cs="Times New Roman"/>
          <w:sz w:val="24"/>
          <w:szCs w:val="24"/>
        </w:rPr>
        <w:t>oj</w:t>
      </w:r>
      <w:r w:rsidR="00AE0C0D" w:rsidRPr="007922E5">
        <w:rPr>
          <w:rFonts w:ascii="Times New Roman" w:hAnsi="Times New Roman" w:cs="Times New Roman"/>
          <w:sz w:val="24"/>
          <w:szCs w:val="24"/>
        </w:rPr>
        <w:t>ë</w:t>
      </w:r>
      <w:r w:rsidR="0082356E" w:rsidRPr="007922E5">
        <w:rPr>
          <w:rFonts w:ascii="Times New Roman" w:hAnsi="Times New Roman" w:cs="Times New Roman"/>
          <w:sz w:val="24"/>
          <w:szCs w:val="24"/>
        </w:rPr>
        <w:t xml:space="preserve"> mbrojtje</w:t>
      </w:r>
      <w:r w:rsidRPr="007922E5">
        <w:rPr>
          <w:rFonts w:ascii="Times New Roman" w:hAnsi="Times New Roman" w:cs="Times New Roman"/>
          <w:sz w:val="24"/>
          <w:szCs w:val="24"/>
        </w:rPr>
        <w:t>n</w:t>
      </w:r>
      <w:r w:rsidR="0082356E" w:rsidRPr="007922E5">
        <w:rPr>
          <w:rFonts w:ascii="Times New Roman" w:hAnsi="Times New Roman" w:cs="Times New Roman"/>
          <w:sz w:val="24"/>
          <w:szCs w:val="24"/>
        </w:rPr>
        <w:t xml:space="preserve"> </w:t>
      </w:r>
      <w:r w:rsidRPr="007922E5">
        <w:rPr>
          <w:rFonts w:ascii="Times New Roman" w:hAnsi="Times New Roman" w:cs="Times New Roman"/>
          <w:sz w:val="24"/>
          <w:szCs w:val="24"/>
        </w:rPr>
        <w:t>e</w:t>
      </w:r>
      <w:r w:rsidR="0082356E" w:rsidRPr="007922E5">
        <w:rPr>
          <w:rFonts w:ascii="Times New Roman" w:hAnsi="Times New Roman" w:cs="Times New Roman"/>
          <w:sz w:val="24"/>
          <w:szCs w:val="24"/>
        </w:rPr>
        <w:t xml:space="preserve"> të dhënave, veçanërisht duke miratuar ligjin e rishikuar për mbrojtjen e të dhënave personale, duke përputhur me rregulloren e BE-së për Mbrojtjen e të Dhënave të Përgjithshme, duke forcuar Zyrën e Komisionerit për Mbrojtjen e Informacionit dhe të Dhënave, dhe duke rritur ndërgjegjësimin, përfshirë institucionet publike;</w:t>
      </w:r>
    </w:p>
    <w:p w:rsidR="0082356E" w:rsidRPr="007922E5" w:rsidRDefault="005B7EFE" w:rsidP="003C6800">
      <w:pPr>
        <w:pStyle w:val="ListParagraph"/>
        <w:numPr>
          <w:ilvl w:val="0"/>
          <w:numId w:val="1"/>
        </w:numPr>
        <w:shd w:val="clear" w:color="auto" w:fill="AEAAAA" w:themeFill="background2" w:themeFillShade="BF"/>
        <w:jc w:val="both"/>
        <w:rPr>
          <w:rFonts w:ascii="Times New Roman" w:hAnsi="Times New Roman" w:cs="Times New Roman"/>
          <w:sz w:val="24"/>
          <w:szCs w:val="24"/>
        </w:rPr>
      </w:pPr>
      <w:r w:rsidRPr="007922E5">
        <w:rPr>
          <w:rFonts w:ascii="Times New Roman" w:hAnsi="Times New Roman" w:cs="Times New Roman"/>
          <w:sz w:val="24"/>
          <w:szCs w:val="24"/>
        </w:rPr>
        <w:t>T</w:t>
      </w:r>
      <w:r w:rsidR="00AE0C0D" w:rsidRPr="007922E5">
        <w:rPr>
          <w:rFonts w:ascii="Times New Roman" w:hAnsi="Times New Roman" w:cs="Times New Roman"/>
          <w:sz w:val="24"/>
          <w:szCs w:val="24"/>
        </w:rPr>
        <w:t>ë</w:t>
      </w:r>
      <w:r w:rsidRPr="007922E5">
        <w:rPr>
          <w:rFonts w:ascii="Times New Roman" w:hAnsi="Times New Roman" w:cs="Times New Roman"/>
          <w:sz w:val="24"/>
          <w:szCs w:val="24"/>
        </w:rPr>
        <w:t xml:space="preserve"> z</w:t>
      </w:r>
      <w:r w:rsidR="0082356E" w:rsidRPr="007922E5">
        <w:rPr>
          <w:rFonts w:ascii="Times New Roman" w:hAnsi="Times New Roman" w:cs="Times New Roman"/>
          <w:sz w:val="24"/>
          <w:szCs w:val="24"/>
        </w:rPr>
        <w:t>bat</w:t>
      </w:r>
      <w:r w:rsidRPr="007922E5">
        <w:rPr>
          <w:rFonts w:ascii="Times New Roman" w:hAnsi="Times New Roman" w:cs="Times New Roman"/>
          <w:sz w:val="24"/>
          <w:szCs w:val="24"/>
        </w:rPr>
        <w:t>oj</w:t>
      </w:r>
      <w:r w:rsidR="00AE0C0D" w:rsidRPr="007922E5">
        <w:rPr>
          <w:rFonts w:ascii="Times New Roman" w:hAnsi="Times New Roman" w:cs="Times New Roman"/>
          <w:sz w:val="24"/>
          <w:szCs w:val="24"/>
        </w:rPr>
        <w:t>ë</w:t>
      </w:r>
      <w:r w:rsidR="0082356E" w:rsidRPr="007922E5">
        <w:rPr>
          <w:rFonts w:ascii="Times New Roman" w:hAnsi="Times New Roman" w:cs="Times New Roman"/>
          <w:sz w:val="24"/>
          <w:szCs w:val="24"/>
        </w:rPr>
        <w:t xml:space="preserve"> strategji</w:t>
      </w:r>
      <w:r w:rsidRPr="007922E5">
        <w:rPr>
          <w:rFonts w:ascii="Times New Roman" w:hAnsi="Times New Roman" w:cs="Times New Roman"/>
          <w:sz w:val="24"/>
          <w:szCs w:val="24"/>
        </w:rPr>
        <w:t>n</w:t>
      </w:r>
      <w:r w:rsidR="0082356E" w:rsidRPr="007922E5">
        <w:rPr>
          <w:rFonts w:ascii="Times New Roman" w:hAnsi="Times New Roman" w:cs="Times New Roman"/>
          <w:sz w:val="24"/>
          <w:szCs w:val="24"/>
        </w:rPr>
        <w:t>ë kombëtare për barazinë gjinore, ligji</w:t>
      </w:r>
      <w:r w:rsidRPr="007922E5">
        <w:rPr>
          <w:rFonts w:ascii="Times New Roman" w:hAnsi="Times New Roman" w:cs="Times New Roman"/>
          <w:sz w:val="24"/>
          <w:szCs w:val="24"/>
        </w:rPr>
        <w:t>n</w:t>
      </w:r>
      <w:r w:rsidR="0082356E" w:rsidRPr="007922E5">
        <w:rPr>
          <w:rFonts w:ascii="Times New Roman" w:hAnsi="Times New Roman" w:cs="Times New Roman"/>
          <w:sz w:val="24"/>
          <w:szCs w:val="24"/>
        </w:rPr>
        <w:t xml:space="preserve"> për barazinë gjinore dhe sigurimi</w:t>
      </w:r>
      <w:r w:rsidRPr="007922E5">
        <w:rPr>
          <w:rFonts w:ascii="Times New Roman" w:hAnsi="Times New Roman" w:cs="Times New Roman"/>
          <w:sz w:val="24"/>
          <w:szCs w:val="24"/>
        </w:rPr>
        <w:t>n</w:t>
      </w:r>
      <w:r w:rsidR="0082356E" w:rsidRPr="007922E5">
        <w:rPr>
          <w:rFonts w:ascii="Times New Roman" w:hAnsi="Times New Roman" w:cs="Times New Roman"/>
          <w:sz w:val="24"/>
          <w:szCs w:val="24"/>
        </w:rPr>
        <w:t xml:space="preserve"> </w:t>
      </w:r>
      <w:r w:rsidRPr="007922E5">
        <w:rPr>
          <w:rFonts w:ascii="Times New Roman" w:hAnsi="Times New Roman" w:cs="Times New Roman"/>
          <w:sz w:val="24"/>
          <w:szCs w:val="24"/>
        </w:rPr>
        <w:t>e</w:t>
      </w:r>
      <w:r w:rsidR="0082356E" w:rsidRPr="007922E5">
        <w:rPr>
          <w:rFonts w:ascii="Times New Roman" w:hAnsi="Times New Roman" w:cs="Times New Roman"/>
          <w:sz w:val="24"/>
          <w:szCs w:val="24"/>
        </w:rPr>
        <w:t xml:space="preserve"> integrimit gjinor dhe buxhetimi i përgjegjshëm gjinor për strategjitë sektoriale.</w:t>
      </w:r>
    </w:p>
    <w:p w:rsidR="0082356E" w:rsidRPr="003C6800" w:rsidRDefault="0082356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Në përgjithësi, Shqipëria vazhdon të jetë në përputhje me </w:t>
      </w:r>
      <w:r w:rsidRPr="007922E5">
        <w:rPr>
          <w:rFonts w:ascii="Times New Roman" w:hAnsi="Times New Roman" w:cs="Times New Roman"/>
          <w:b/>
          <w:sz w:val="24"/>
          <w:szCs w:val="24"/>
        </w:rPr>
        <w:t>instrumentet ndërkombëtare të të drejtave të njeriut</w:t>
      </w:r>
      <w:r w:rsidRPr="007922E5">
        <w:rPr>
          <w:rFonts w:ascii="Times New Roman" w:hAnsi="Times New Roman" w:cs="Times New Roman"/>
          <w:sz w:val="24"/>
          <w:szCs w:val="24"/>
        </w:rPr>
        <w:t xml:space="preserve"> dhe shumica e konventave ndërkombëtare janë ratifikuar. Megjithatë, Protokolli Fakultativ i Konventës për të Drejtat e Personave me Aftësi të Kufizuara dhe Protokolli Fakultativ i Konventës Ndërkombëtare për të Drejtat Ekonomike, Sociale dhe Kulturore </w:t>
      </w:r>
      <w:r w:rsidRPr="003C6800">
        <w:rPr>
          <w:rFonts w:ascii="Times New Roman" w:hAnsi="Times New Roman" w:cs="Times New Roman"/>
          <w:b/>
          <w:bCs/>
          <w:i/>
          <w:iCs/>
          <w:sz w:val="24"/>
          <w:szCs w:val="24"/>
        </w:rPr>
        <w:t>ende nuk janë nënshkruar.</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Në </w:t>
      </w:r>
      <w:r w:rsidR="00800F64" w:rsidRPr="007922E5">
        <w:rPr>
          <w:rFonts w:ascii="Times New Roman" w:hAnsi="Times New Roman" w:cs="Times New Roman"/>
          <w:sz w:val="24"/>
          <w:szCs w:val="24"/>
        </w:rPr>
        <w:t>M</w:t>
      </w:r>
      <w:r w:rsidRPr="007922E5">
        <w:rPr>
          <w:rFonts w:ascii="Times New Roman" w:hAnsi="Times New Roman" w:cs="Times New Roman"/>
          <w:sz w:val="24"/>
          <w:szCs w:val="24"/>
        </w:rPr>
        <w:t xml:space="preserve">ars 2022, Komiteti i Konventës për Eliminimin e të gjitha Formave të Diskriminimit ndaj Grave miratoi një listë fushash, ku Shqipëria </w:t>
      </w:r>
      <w:r w:rsidRPr="003C6800">
        <w:rPr>
          <w:rFonts w:ascii="Times New Roman" w:hAnsi="Times New Roman" w:cs="Times New Roman"/>
          <w:b/>
          <w:bCs/>
          <w:i/>
          <w:iCs/>
          <w:sz w:val="24"/>
          <w:szCs w:val="24"/>
        </w:rPr>
        <w:t>duhet të demonstrojë progres</w:t>
      </w:r>
      <w:r w:rsidRPr="007922E5">
        <w:rPr>
          <w:rFonts w:ascii="Times New Roman" w:hAnsi="Times New Roman" w:cs="Times New Roman"/>
          <w:sz w:val="24"/>
          <w:szCs w:val="24"/>
        </w:rPr>
        <w:t>, duke përfshirë kuadrin legjislativ dhe përkufizimin e diskriminimit ndaj grave, punësimit, dhunës me bazë gjinore, dhe grupet e disavantazhuara dhe të margjinalizuara të grave.</w:t>
      </w:r>
    </w:p>
    <w:p w:rsidR="0082356E" w:rsidRPr="003C6800" w:rsidRDefault="0082356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Shqipëria paraqiti raportin e saj të parë mbi zbatimin e Konventës së Këshillit të Evropës për parandalimin dhe luftimin e dhunës ndaj grave dhe dhunës në familje (Konventa e Stambollit). Konkluzionet e Komitetit të Palëve në Konventën e Stambollit, të publikuara në </w:t>
      </w:r>
      <w:r w:rsidR="00800F64" w:rsidRPr="007922E5">
        <w:rPr>
          <w:rFonts w:ascii="Times New Roman" w:hAnsi="Times New Roman" w:cs="Times New Roman"/>
          <w:sz w:val="24"/>
          <w:szCs w:val="24"/>
        </w:rPr>
        <w:t>D</w:t>
      </w:r>
      <w:r w:rsidRPr="007922E5">
        <w:rPr>
          <w:rFonts w:ascii="Times New Roman" w:hAnsi="Times New Roman" w:cs="Times New Roman"/>
          <w:sz w:val="24"/>
          <w:szCs w:val="24"/>
        </w:rPr>
        <w:t xml:space="preserve">hjetor 2021, </w:t>
      </w:r>
      <w:r w:rsidRPr="003C6800">
        <w:rPr>
          <w:rFonts w:ascii="Times New Roman" w:hAnsi="Times New Roman" w:cs="Times New Roman"/>
          <w:b/>
          <w:bCs/>
          <w:i/>
          <w:iCs/>
          <w:sz w:val="24"/>
          <w:szCs w:val="24"/>
        </w:rPr>
        <w:t>vunë në dukje urgjencën e rritjes së burimeve për të vënë në praktikë dispozitat ligjore.</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Si pjesë e pjesëmarrjes së Shqipërisë në </w:t>
      </w:r>
      <w:r w:rsidRPr="007922E5">
        <w:rPr>
          <w:rFonts w:ascii="Times New Roman" w:hAnsi="Times New Roman" w:cs="Times New Roman"/>
          <w:b/>
          <w:sz w:val="24"/>
          <w:szCs w:val="24"/>
        </w:rPr>
        <w:t>Agjencinë e Bashkimit Evropian për të Drejtat Themelore</w:t>
      </w:r>
      <w:r w:rsidRPr="007922E5">
        <w:rPr>
          <w:rFonts w:ascii="Times New Roman" w:hAnsi="Times New Roman" w:cs="Times New Roman"/>
          <w:sz w:val="24"/>
          <w:szCs w:val="24"/>
        </w:rPr>
        <w:t xml:space="preserve"> (FRA), vlerësimi i nivelit të zbatimit të legjislacionit, politikave dhe strategjive të të drejtave të njeriut </w:t>
      </w:r>
      <w:r w:rsidRPr="003C6800">
        <w:rPr>
          <w:rFonts w:ascii="Times New Roman" w:hAnsi="Times New Roman" w:cs="Times New Roman"/>
          <w:b/>
          <w:bCs/>
          <w:i/>
          <w:iCs/>
          <w:sz w:val="24"/>
          <w:szCs w:val="24"/>
        </w:rPr>
        <w:t>mbetet një sfidë për shkak të mungesës së monitorimit dhe të dhënave gjithëpërfshirëse</w:t>
      </w:r>
      <w:r w:rsidRPr="007922E5">
        <w:rPr>
          <w:rFonts w:ascii="Times New Roman" w:hAnsi="Times New Roman" w:cs="Times New Roman"/>
          <w:sz w:val="24"/>
          <w:szCs w:val="24"/>
        </w:rPr>
        <w:t>.</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Shqipëria vazhdon të sigurojë bashkëpunim të mirë me </w:t>
      </w:r>
      <w:r w:rsidRPr="007922E5">
        <w:rPr>
          <w:rFonts w:ascii="Times New Roman" w:hAnsi="Times New Roman" w:cs="Times New Roman"/>
          <w:b/>
          <w:sz w:val="24"/>
          <w:szCs w:val="24"/>
        </w:rPr>
        <w:t>Gjykatën Evropiane të të Drejtave të Njeriut</w:t>
      </w:r>
      <w:r w:rsidRPr="007922E5">
        <w:rPr>
          <w:rFonts w:ascii="Times New Roman" w:hAnsi="Times New Roman" w:cs="Times New Roman"/>
          <w:sz w:val="24"/>
          <w:szCs w:val="24"/>
        </w:rPr>
        <w:t xml:space="preserve"> (GJEDNJ). Më 15 </w:t>
      </w:r>
      <w:r w:rsidR="00800F64" w:rsidRPr="007922E5">
        <w:rPr>
          <w:rFonts w:ascii="Times New Roman" w:hAnsi="Times New Roman" w:cs="Times New Roman"/>
          <w:sz w:val="24"/>
          <w:szCs w:val="24"/>
        </w:rPr>
        <w:t>Q</w:t>
      </w:r>
      <w:r w:rsidRPr="007922E5">
        <w:rPr>
          <w:rFonts w:ascii="Times New Roman" w:hAnsi="Times New Roman" w:cs="Times New Roman"/>
          <w:sz w:val="24"/>
          <w:szCs w:val="24"/>
        </w:rPr>
        <w:t xml:space="preserve">ershor 2022, 400 çështje kundër Shqipërisë (19 prej të cilave ishin </w:t>
      </w:r>
      <w:r w:rsidR="00800F64" w:rsidRPr="007922E5">
        <w:rPr>
          <w:rFonts w:ascii="Times New Roman" w:hAnsi="Times New Roman" w:cs="Times New Roman"/>
          <w:sz w:val="24"/>
          <w:szCs w:val="24"/>
        </w:rPr>
        <w:t xml:space="preserve">raste </w:t>
      </w:r>
      <w:r w:rsidRPr="007922E5">
        <w:rPr>
          <w:rFonts w:ascii="Times New Roman" w:hAnsi="Times New Roman" w:cs="Times New Roman"/>
          <w:sz w:val="24"/>
          <w:szCs w:val="24"/>
        </w:rPr>
        <w:t xml:space="preserve">të komunikuara) ishin në pritje në gjykatë. Gjykata dha </w:t>
      </w:r>
      <w:r w:rsidRPr="003C6800">
        <w:rPr>
          <w:rFonts w:ascii="Times New Roman" w:hAnsi="Times New Roman" w:cs="Times New Roman"/>
          <w:b/>
          <w:bCs/>
          <w:sz w:val="24"/>
          <w:szCs w:val="24"/>
        </w:rPr>
        <w:t>katër</w:t>
      </w:r>
      <w:r w:rsidRPr="007922E5">
        <w:rPr>
          <w:rFonts w:ascii="Times New Roman" w:hAnsi="Times New Roman" w:cs="Times New Roman"/>
          <w:sz w:val="24"/>
          <w:szCs w:val="24"/>
        </w:rPr>
        <w:t xml:space="preserve"> vendime në lidhje me Shqipërinë gjatë periudhës raportuese, nga të cilat tre konstatuan shkelje të Konventës Evropiane për të Drejtat e Njeriut (KEDNJ). Katër vendime janë nën mbikëqyrjen e Komitetit të Ministrave për ndër të tjera ndalimin e keqtrajtimit, kohëzgjatjen e proceseve gjyqësore, moszbatimin e vendimeve gjyqësore dhe të drejtën e pronës. I janë caktuar 75 kërkesa të reja një formacioni gjyqësor të GJEDNJ-së dhe gjykata ka trajtuar 224 kërkesa në lidhje me Shqipërinë në vitin 2021, nga të cilat 220 janë shpallur të papranueshme.</w:t>
      </w:r>
    </w:p>
    <w:p w:rsidR="0082356E" w:rsidRPr="003A3E1A" w:rsidRDefault="0082356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lastRenderedPageBreak/>
        <w:t xml:space="preserve">Avokati i Popullit (Avokati i Popullit) vazhdoi të promovojë dhe zbatojë të drejtat e njeriut. Buxheti i institucionit u rrit pak në vitin 2021. </w:t>
      </w:r>
      <w:r w:rsidRPr="003A3E1A">
        <w:rPr>
          <w:rFonts w:ascii="Times New Roman" w:hAnsi="Times New Roman" w:cs="Times New Roman"/>
          <w:b/>
          <w:bCs/>
          <w:i/>
          <w:iCs/>
          <w:sz w:val="24"/>
          <w:szCs w:val="24"/>
        </w:rPr>
        <w:t>Nga 267 rekomandimet e nxjerra në vitin 2021, pothuajse gjysma u pranuan dhe së paku u zbatuan pjesërisht, 22% mbetën pa përgjigje dhe disa përgjigje të vonuara dhe/ose jo të plota ndikuan negativisht në punën e Avokatit të Popullit. Progresi duhet të vazhdojë në përmirësimin e ndjekjes së këtyre rekomandimeve.</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Gjatë gjendjes së jashtëzakonshme në lidhje me pandeminë COVID-19 në vitin 2021, </w:t>
      </w:r>
      <w:r w:rsidRPr="003A3E1A">
        <w:rPr>
          <w:rFonts w:ascii="Times New Roman" w:hAnsi="Times New Roman" w:cs="Times New Roman"/>
          <w:b/>
          <w:bCs/>
          <w:i/>
          <w:iCs/>
          <w:sz w:val="24"/>
          <w:szCs w:val="24"/>
        </w:rPr>
        <w:t>Avokati i Popullit ngriti shqetësime për pjesëmarrjen demokratike, lirinë e lëvizjes dhe grumbullimit, kufizimet në të drejtën e jetës familjare dhe privatësisë, dhe promovoi në mënyrë proaktive parimet e ligjshmërisë dhe proporcionalitetit në lidhje me legjislacioni</w:t>
      </w:r>
      <w:r w:rsidR="002B447D" w:rsidRPr="003A3E1A">
        <w:rPr>
          <w:rFonts w:ascii="Times New Roman" w:hAnsi="Times New Roman" w:cs="Times New Roman"/>
          <w:b/>
          <w:bCs/>
          <w:i/>
          <w:iCs/>
          <w:sz w:val="24"/>
          <w:szCs w:val="24"/>
        </w:rPr>
        <w:t>n</w:t>
      </w:r>
      <w:r w:rsidRPr="003A3E1A">
        <w:rPr>
          <w:rFonts w:ascii="Times New Roman" w:hAnsi="Times New Roman" w:cs="Times New Roman"/>
          <w:b/>
          <w:bCs/>
          <w:i/>
          <w:iCs/>
          <w:sz w:val="24"/>
          <w:szCs w:val="24"/>
        </w:rPr>
        <w:t xml:space="preserve"> në dritën e pandemisë.</w:t>
      </w:r>
      <w:r w:rsidRPr="007922E5">
        <w:rPr>
          <w:rFonts w:ascii="Times New Roman" w:hAnsi="Times New Roman" w:cs="Times New Roman"/>
          <w:sz w:val="24"/>
          <w:szCs w:val="24"/>
        </w:rPr>
        <w:t xml:space="preserve"> Numri i konsiderueshëm dhe i qëndrueshëm i rasteve të diskriminimit të depozituara pranë Komisionerit për Mbrojtjen nga Diskriminimi (KMD) tregon rritjen e ndërgjegjësimit dhe besimit të publikut ndaj këtij institucioni. GJEDNJ-ja pranoi një kërkesë të bazuar në një vendim detyrues të CDP-së nga viti 2015, megjithëse çështja nuk u gjykua kurrë në gjykatat kombëtare, në kundërshtim me pretendimin e Shqipërisë. GJEDNJ vendosi se nuk ishte e nevojshme të kërkohej korrigjim në gjykata nëse ekziston një vendim i zbatueshëm dhe detyrues i Komisionerit. Në vitin 2021 në </w:t>
      </w:r>
      <w:r w:rsidR="003A3E1A">
        <w:rPr>
          <w:rFonts w:ascii="Times New Roman" w:hAnsi="Times New Roman" w:cs="Times New Roman"/>
          <w:sz w:val="24"/>
          <w:szCs w:val="24"/>
        </w:rPr>
        <w:t>KMD</w:t>
      </w:r>
      <w:r w:rsidRPr="007922E5">
        <w:rPr>
          <w:rFonts w:ascii="Times New Roman" w:hAnsi="Times New Roman" w:cs="Times New Roman"/>
          <w:sz w:val="24"/>
          <w:szCs w:val="24"/>
        </w:rPr>
        <w:t xml:space="preserve"> janë depozituar 324 </w:t>
      </w:r>
      <w:r w:rsidR="003A3E1A">
        <w:rPr>
          <w:rFonts w:ascii="Times New Roman" w:hAnsi="Times New Roman" w:cs="Times New Roman"/>
          <w:sz w:val="24"/>
          <w:szCs w:val="24"/>
        </w:rPr>
        <w:t>ceshtje</w:t>
      </w:r>
      <w:r w:rsidRPr="007922E5">
        <w:rPr>
          <w:rFonts w:ascii="Times New Roman" w:hAnsi="Times New Roman" w:cs="Times New Roman"/>
          <w:sz w:val="24"/>
          <w:szCs w:val="24"/>
        </w:rPr>
        <w:t xml:space="preserve">, nga të cilat 168 në fushën e punësimit dhe 143 në fushën e mallrave dhe shërbimeve. </w:t>
      </w:r>
      <w:r w:rsidR="003A3E1A" w:rsidRPr="007922E5">
        <w:rPr>
          <w:rFonts w:ascii="Times New Roman" w:hAnsi="Times New Roman" w:cs="Times New Roman"/>
          <w:sz w:val="24"/>
          <w:szCs w:val="24"/>
        </w:rPr>
        <w:t xml:space="preserve">KMD </w:t>
      </w:r>
      <w:r w:rsidRPr="007922E5">
        <w:rPr>
          <w:rFonts w:ascii="Times New Roman" w:hAnsi="Times New Roman" w:cs="Times New Roman"/>
          <w:sz w:val="24"/>
          <w:szCs w:val="24"/>
        </w:rPr>
        <w:t>nxori katër rekomandime kryesore. Dy lidhen me projektligjet për të luftuar krimet seksuale. Një tjetër ishte zbatimi i strategjisë kombëtare për barazinë gjinore. Një tjetër rekomandim ishte për planin kombëtar të veprimit 2021-2025 për barazinë, përfshirjen dhe pjesëmarrjen e romëve dhe egjiptianëve.</w:t>
      </w:r>
    </w:p>
    <w:p w:rsidR="0082356E" w:rsidRPr="003A3E1A" w:rsidRDefault="0082356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Për </w:t>
      </w:r>
      <w:r w:rsidRPr="007922E5">
        <w:rPr>
          <w:rFonts w:ascii="Times New Roman" w:hAnsi="Times New Roman" w:cs="Times New Roman"/>
          <w:b/>
          <w:sz w:val="24"/>
          <w:szCs w:val="24"/>
        </w:rPr>
        <w:t>të drejtën e jetës</w:t>
      </w:r>
      <w:r w:rsidRPr="007922E5">
        <w:rPr>
          <w:rFonts w:ascii="Times New Roman" w:hAnsi="Times New Roman" w:cs="Times New Roman"/>
          <w:sz w:val="24"/>
          <w:szCs w:val="24"/>
        </w:rPr>
        <w:t xml:space="preserve">, është bërë </w:t>
      </w:r>
      <w:r w:rsidRPr="003A3E1A">
        <w:rPr>
          <w:rFonts w:ascii="Times New Roman" w:hAnsi="Times New Roman" w:cs="Times New Roman"/>
          <w:b/>
          <w:bCs/>
          <w:i/>
          <w:iCs/>
          <w:sz w:val="24"/>
          <w:szCs w:val="24"/>
        </w:rPr>
        <w:t>përparim i kufizuar në hetimin e rasteve dhe forcimin e kuadrit institucional dhe legjislativ për personat e zhdukur që nga koha e komunizmit</w:t>
      </w:r>
      <w:r w:rsidRPr="007922E5">
        <w:rPr>
          <w:rFonts w:ascii="Times New Roman" w:hAnsi="Times New Roman" w:cs="Times New Roman"/>
          <w:sz w:val="24"/>
          <w:szCs w:val="24"/>
        </w:rPr>
        <w:t xml:space="preserve">. Në tetor 2021, prokurori i rrethit Fier urdhëroi zhvarrosjen e një varri sekret në ish-kampin e burgut në Ballsh, një varr i njohur. </w:t>
      </w:r>
      <w:r w:rsidRPr="003A3E1A">
        <w:rPr>
          <w:rFonts w:ascii="Times New Roman" w:hAnsi="Times New Roman" w:cs="Times New Roman"/>
          <w:b/>
          <w:bCs/>
          <w:i/>
          <w:iCs/>
          <w:sz w:val="24"/>
          <w:szCs w:val="24"/>
        </w:rPr>
        <w:t>Urdhri ende nuk është zbatuar.</w:t>
      </w:r>
      <w:r w:rsidRPr="007922E5">
        <w:rPr>
          <w:rFonts w:ascii="Times New Roman" w:hAnsi="Times New Roman" w:cs="Times New Roman"/>
          <w:sz w:val="24"/>
          <w:szCs w:val="24"/>
        </w:rPr>
        <w:t xml:space="preserve"> </w:t>
      </w:r>
      <w:r w:rsidRPr="003A3E1A">
        <w:rPr>
          <w:rFonts w:ascii="Times New Roman" w:hAnsi="Times New Roman" w:cs="Times New Roman"/>
          <w:b/>
          <w:bCs/>
          <w:i/>
          <w:iCs/>
          <w:sz w:val="24"/>
          <w:szCs w:val="24"/>
        </w:rPr>
        <w:t xml:space="preserve">Mbetet për t'u miratuar legjislacioni zbatues për ndryshimin e ligjit për të drejtën e informimit për dokumentet e ish-sigurimit të shtetit të Republikës Popullore Socialiste të Shqipërisë. </w:t>
      </w:r>
      <w:r w:rsidRPr="007922E5">
        <w:rPr>
          <w:rFonts w:ascii="Times New Roman" w:hAnsi="Times New Roman" w:cs="Times New Roman"/>
          <w:sz w:val="24"/>
          <w:szCs w:val="24"/>
        </w:rPr>
        <w:t xml:space="preserve">Në </w:t>
      </w:r>
      <w:r w:rsidR="002B447D" w:rsidRPr="007922E5">
        <w:rPr>
          <w:rFonts w:ascii="Times New Roman" w:hAnsi="Times New Roman" w:cs="Times New Roman"/>
          <w:sz w:val="24"/>
          <w:szCs w:val="24"/>
        </w:rPr>
        <w:t>M</w:t>
      </w:r>
      <w:r w:rsidRPr="007922E5">
        <w:rPr>
          <w:rFonts w:ascii="Times New Roman" w:hAnsi="Times New Roman" w:cs="Times New Roman"/>
          <w:sz w:val="24"/>
          <w:szCs w:val="24"/>
        </w:rPr>
        <w:t xml:space="preserve">ars 2022, struktura e re e autoritetit të informimit mbi dokumentet u miratua nga Kuvendi dhe u nënshkruan marrëveshje bashkëpunimi për identifikimin dhe rikuperimin e personave të zhdukur ndërmjet autoritetit dhe policisë së shtetit. Gjithashtu, u krijua një drejtori e re me një mandat të qartë për të rritur bashkëpunimin ndërinstitucional për identifikimin dhe rikuperimin e trupave të personave të zhdukur. </w:t>
      </w:r>
      <w:r w:rsidRPr="003A3E1A">
        <w:rPr>
          <w:rFonts w:ascii="Times New Roman" w:hAnsi="Times New Roman" w:cs="Times New Roman"/>
          <w:b/>
          <w:bCs/>
          <w:i/>
          <w:iCs/>
          <w:sz w:val="24"/>
          <w:szCs w:val="24"/>
        </w:rPr>
        <w:t>Vullneti i vazhdueshëm politik është i rëndësishëm për të rritur numrin e rasteve të zgjidhura dhe për të rritur ndërgjegjësimin e publikut për këtë çështje.</w:t>
      </w:r>
    </w:p>
    <w:p w:rsidR="0082356E" w:rsidRPr="00B7717B" w:rsidRDefault="0082356E" w:rsidP="00B7717B">
      <w:pPr>
        <w:jc w:val="both"/>
        <w:rPr>
          <w:rFonts w:ascii="Times New Roman" w:hAnsi="Times New Roman" w:cs="Times New Roman"/>
          <w:b/>
          <w:bCs/>
          <w:i/>
          <w:iCs/>
          <w:sz w:val="24"/>
          <w:szCs w:val="24"/>
        </w:rPr>
      </w:pPr>
      <w:r w:rsidRPr="007922E5">
        <w:rPr>
          <w:rFonts w:ascii="Times New Roman" w:hAnsi="Times New Roman" w:cs="Times New Roman"/>
          <w:b/>
          <w:sz w:val="24"/>
          <w:szCs w:val="24"/>
        </w:rPr>
        <w:t>Për parandalimin e torturës dhe keqtrajtimit</w:t>
      </w:r>
      <w:r w:rsidRPr="007922E5">
        <w:rPr>
          <w:rFonts w:ascii="Times New Roman" w:hAnsi="Times New Roman" w:cs="Times New Roman"/>
          <w:sz w:val="24"/>
          <w:szCs w:val="24"/>
        </w:rPr>
        <w:t xml:space="preserve">, në </w:t>
      </w:r>
      <w:r w:rsidR="002B447D" w:rsidRPr="007922E5">
        <w:rPr>
          <w:rFonts w:ascii="Times New Roman" w:hAnsi="Times New Roman" w:cs="Times New Roman"/>
          <w:sz w:val="24"/>
          <w:szCs w:val="24"/>
        </w:rPr>
        <w:t>N</w:t>
      </w:r>
      <w:r w:rsidRPr="007922E5">
        <w:rPr>
          <w:rFonts w:ascii="Times New Roman" w:hAnsi="Times New Roman" w:cs="Times New Roman"/>
          <w:sz w:val="24"/>
          <w:szCs w:val="24"/>
        </w:rPr>
        <w:t>ëntor 2021, Komiteti Evropian për Parandalimin e Torturës dhe Trajtimit ose Ndëshkimit Çnjerëzor ose Poshtërues zhvilloi një vizitë ad hoc në Shqipëri. K</w:t>
      </w:r>
      <w:r w:rsidR="00B7717B">
        <w:rPr>
          <w:rFonts w:ascii="Times New Roman" w:hAnsi="Times New Roman" w:cs="Times New Roman"/>
          <w:sz w:val="24"/>
          <w:szCs w:val="24"/>
        </w:rPr>
        <w:t>omitetit</w:t>
      </w:r>
      <w:r w:rsidRPr="007922E5">
        <w:rPr>
          <w:rFonts w:ascii="Times New Roman" w:hAnsi="Times New Roman" w:cs="Times New Roman"/>
          <w:sz w:val="24"/>
          <w:szCs w:val="24"/>
        </w:rPr>
        <w:t xml:space="preserve"> shqyrtoi progresin e bërë në transferimin e pacientëve psikiatrikë ligjorë në ambientet e duhura dhe ekzaminoi kushtet e spitalit të burgut. Stafi mjekësor dhe ai i kujdestarisë u vlerësuan të jenë përgjithësisht të kënaqshëm dhe nuk u raportuan pretendime për keqtrajtim të pacientëve nga stafi. </w:t>
      </w:r>
      <w:r w:rsidRPr="00B7717B">
        <w:rPr>
          <w:rFonts w:ascii="Times New Roman" w:hAnsi="Times New Roman" w:cs="Times New Roman"/>
          <w:b/>
          <w:bCs/>
          <w:i/>
          <w:iCs/>
          <w:sz w:val="24"/>
          <w:szCs w:val="24"/>
        </w:rPr>
        <w:t>Megjithatë, mbeten kushtet e këqija materiale, si dhe mangësi strukturore, duke përfshirë mungesën e hapësirave komunale për aktivitete</w:t>
      </w:r>
      <w:r w:rsidR="002B447D" w:rsidRPr="00B7717B">
        <w:rPr>
          <w:rFonts w:ascii="Times New Roman" w:hAnsi="Times New Roman" w:cs="Times New Roman"/>
          <w:b/>
          <w:bCs/>
          <w:i/>
          <w:iCs/>
          <w:sz w:val="24"/>
          <w:szCs w:val="24"/>
        </w:rPr>
        <w:t xml:space="preserve"> n</w:t>
      </w:r>
      <w:r w:rsidR="00AE0C0D" w:rsidRPr="00B7717B">
        <w:rPr>
          <w:rFonts w:ascii="Times New Roman" w:hAnsi="Times New Roman" w:cs="Times New Roman"/>
          <w:b/>
          <w:bCs/>
          <w:i/>
          <w:iCs/>
          <w:sz w:val="24"/>
          <w:szCs w:val="24"/>
        </w:rPr>
        <w:t>ë</w:t>
      </w:r>
      <w:r w:rsidRPr="00B7717B">
        <w:rPr>
          <w:rFonts w:ascii="Times New Roman" w:hAnsi="Times New Roman" w:cs="Times New Roman"/>
          <w:b/>
          <w:bCs/>
          <w:i/>
          <w:iCs/>
          <w:sz w:val="24"/>
          <w:szCs w:val="24"/>
        </w:rPr>
        <w:t xml:space="preserve"> grup dhe të oborreve të jashtme.</w:t>
      </w:r>
      <w:r w:rsidR="00B7717B">
        <w:rPr>
          <w:rFonts w:ascii="Times New Roman" w:hAnsi="Times New Roman" w:cs="Times New Roman"/>
          <w:b/>
          <w:bCs/>
          <w:i/>
          <w:iCs/>
          <w:sz w:val="24"/>
          <w:szCs w:val="24"/>
        </w:rPr>
        <w:t xml:space="preserve"> </w:t>
      </w:r>
      <w:r w:rsidRPr="007922E5">
        <w:rPr>
          <w:rFonts w:ascii="Times New Roman" w:hAnsi="Times New Roman" w:cs="Times New Roman"/>
          <w:sz w:val="24"/>
          <w:szCs w:val="24"/>
        </w:rPr>
        <w:t xml:space="preserve">Një memorandum mirëkuptimi me një plan të përbashkët veprimi është nënshkruar nga Ministri i Drejtësisë dhe Ministri i Shëndetësisë dhe Mbrojtjes Sociale për zbatimin </w:t>
      </w:r>
      <w:r w:rsidRPr="007922E5">
        <w:rPr>
          <w:rFonts w:ascii="Times New Roman" w:hAnsi="Times New Roman" w:cs="Times New Roman"/>
          <w:sz w:val="24"/>
          <w:szCs w:val="24"/>
        </w:rPr>
        <w:lastRenderedPageBreak/>
        <w:t>e rekomandimeve të KPT-së dhe vendimeve të GJEDNJ-së në lidhje me pacientët psikiatrikë</w:t>
      </w:r>
      <w:r w:rsidR="009E21C2" w:rsidRPr="007922E5">
        <w:rPr>
          <w:rFonts w:ascii="Times New Roman" w:hAnsi="Times New Roman" w:cs="Times New Roman"/>
          <w:sz w:val="24"/>
          <w:szCs w:val="24"/>
        </w:rPr>
        <w:t xml:space="preserve"> t</w:t>
      </w:r>
      <w:r w:rsidR="00AE0C0D" w:rsidRPr="007922E5">
        <w:rPr>
          <w:rFonts w:ascii="Times New Roman" w:hAnsi="Times New Roman" w:cs="Times New Roman"/>
          <w:sz w:val="24"/>
          <w:szCs w:val="24"/>
        </w:rPr>
        <w:t>ë</w:t>
      </w:r>
      <w:r w:rsidR="009E21C2" w:rsidRPr="007922E5">
        <w:rPr>
          <w:rFonts w:ascii="Times New Roman" w:hAnsi="Times New Roman" w:cs="Times New Roman"/>
          <w:sz w:val="24"/>
          <w:szCs w:val="24"/>
        </w:rPr>
        <w:t xml:space="preserve"> mjek</w:t>
      </w:r>
      <w:r w:rsidR="00AE0C0D" w:rsidRPr="007922E5">
        <w:rPr>
          <w:rFonts w:ascii="Times New Roman" w:hAnsi="Times New Roman" w:cs="Times New Roman"/>
          <w:sz w:val="24"/>
          <w:szCs w:val="24"/>
        </w:rPr>
        <w:t>ë</w:t>
      </w:r>
      <w:r w:rsidR="009E21C2" w:rsidRPr="007922E5">
        <w:rPr>
          <w:rFonts w:ascii="Times New Roman" w:hAnsi="Times New Roman" w:cs="Times New Roman"/>
          <w:sz w:val="24"/>
          <w:szCs w:val="24"/>
        </w:rPr>
        <w:t>sis</w:t>
      </w:r>
      <w:r w:rsidR="00AE0C0D" w:rsidRPr="007922E5">
        <w:rPr>
          <w:rFonts w:ascii="Times New Roman" w:hAnsi="Times New Roman" w:cs="Times New Roman"/>
          <w:sz w:val="24"/>
          <w:szCs w:val="24"/>
        </w:rPr>
        <w:t>ë</w:t>
      </w:r>
      <w:r w:rsidRPr="007922E5">
        <w:rPr>
          <w:rFonts w:ascii="Times New Roman" w:hAnsi="Times New Roman" w:cs="Times New Roman"/>
          <w:sz w:val="24"/>
          <w:szCs w:val="24"/>
        </w:rPr>
        <w:t xml:space="preserve"> ligjor</w:t>
      </w:r>
      <w:r w:rsidR="009E21C2" w:rsidRPr="007922E5">
        <w:rPr>
          <w:rFonts w:ascii="Times New Roman" w:hAnsi="Times New Roman" w:cs="Times New Roman"/>
          <w:sz w:val="24"/>
          <w:szCs w:val="24"/>
        </w:rPr>
        <w:t>e</w:t>
      </w:r>
      <w:r w:rsidRPr="007922E5">
        <w:rPr>
          <w:rFonts w:ascii="Times New Roman" w:hAnsi="Times New Roman" w:cs="Times New Roman"/>
          <w:sz w:val="24"/>
          <w:szCs w:val="24"/>
        </w:rPr>
        <w:t xml:space="preserve"> dhe të burgosurit me çrregullime mendore. Pas një marrëveshjeje shtesë, burgu i Zaharisë u mbyll dhe pacientët psikiatrikë ligjorë u transferuan në burgun e Lezhës. Vazhdoi progresi në rinovimin e burgut të Lezhës. </w:t>
      </w:r>
      <w:r w:rsidRPr="00B7717B">
        <w:rPr>
          <w:rFonts w:ascii="Times New Roman" w:hAnsi="Times New Roman" w:cs="Times New Roman"/>
          <w:b/>
          <w:bCs/>
          <w:i/>
          <w:iCs/>
          <w:sz w:val="24"/>
          <w:szCs w:val="24"/>
        </w:rPr>
        <w:t>Megjithatë, ajo mbetet e mbipopulluar dhe kushtet në objektin e saj psikiatrik mjekoligjor duhet të ngrihen në një standard të kënaqshëm. Gjithashtu nevojiten përpjekje për të rritur numrin e stafit dhe kompetencën e tyre.</w:t>
      </w:r>
    </w:p>
    <w:p w:rsidR="0082356E" w:rsidRPr="007922E5" w:rsidRDefault="0082356E" w:rsidP="00561960">
      <w:pPr>
        <w:jc w:val="both"/>
        <w:rPr>
          <w:rFonts w:ascii="Times New Roman" w:hAnsi="Times New Roman" w:cs="Times New Roman"/>
          <w:sz w:val="24"/>
          <w:szCs w:val="24"/>
        </w:rPr>
      </w:pPr>
      <w:r w:rsidRPr="007922E5">
        <w:rPr>
          <w:rFonts w:ascii="Times New Roman" w:hAnsi="Times New Roman" w:cs="Times New Roman"/>
          <w:sz w:val="24"/>
          <w:szCs w:val="24"/>
        </w:rPr>
        <w:t>Mekanizmi Parandalues ​​Kombëtar (M</w:t>
      </w:r>
      <w:r w:rsidR="00B7717B">
        <w:rPr>
          <w:rFonts w:ascii="Times New Roman" w:hAnsi="Times New Roman" w:cs="Times New Roman"/>
          <w:sz w:val="24"/>
          <w:szCs w:val="24"/>
        </w:rPr>
        <w:t>PK</w:t>
      </w:r>
      <w:r w:rsidRPr="007922E5">
        <w:rPr>
          <w:rFonts w:ascii="Times New Roman" w:hAnsi="Times New Roman" w:cs="Times New Roman"/>
          <w:sz w:val="24"/>
          <w:szCs w:val="24"/>
        </w:rPr>
        <w:t>) ka kryer 68 inspektime periodike të cilat u pasuan me 76 rekomandime dhe trajtuan 38 ankesa dhe nëntë raste ex officio lidhur me kushtet në burgje dhe trajtimin e të burgosurve. M</w:t>
      </w:r>
      <w:r w:rsidR="00561960">
        <w:rPr>
          <w:rFonts w:ascii="Times New Roman" w:hAnsi="Times New Roman" w:cs="Times New Roman"/>
          <w:sz w:val="24"/>
          <w:szCs w:val="24"/>
        </w:rPr>
        <w:t>PK</w:t>
      </w:r>
      <w:r w:rsidRPr="007922E5">
        <w:rPr>
          <w:rFonts w:ascii="Times New Roman" w:hAnsi="Times New Roman" w:cs="Times New Roman"/>
          <w:sz w:val="24"/>
          <w:szCs w:val="24"/>
        </w:rPr>
        <w:t xml:space="preserve"> trajtoi edhe katër denoncime ndaj policisë së shtetit për dhunë dhe shoqërim të pajustifikuar. Sipas raporteve të Avokatit të Popullit, shumica e këtyre rasteve kanë ndodhur gjatë arrestimit dhe marrjes në pyetje, veçanërisht në kuadër të protestave publike.</w:t>
      </w:r>
    </w:p>
    <w:p w:rsidR="0082356E" w:rsidRPr="00D85A6B" w:rsidRDefault="0082356E" w:rsidP="00E31BC3">
      <w:pPr>
        <w:jc w:val="both"/>
        <w:rPr>
          <w:rFonts w:ascii="Times New Roman" w:hAnsi="Times New Roman" w:cs="Times New Roman"/>
          <w:b/>
          <w:bCs/>
          <w:i/>
          <w:iCs/>
          <w:sz w:val="24"/>
          <w:szCs w:val="24"/>
        </w:rPr>
      </w:pPr>
      <w:r w:rsidRPr="00561960">
        <w:rPr>
          <w:rFonts w:ascii="Times New Roman" w:hAnsi="Times New Roman" w:cs="Times New Roman"/>
          <w:b/>
          <w:bCs/>
          <w:i/>
          <w:iCs/>
          <w:sz w:val="24"/>
          <w:szCs w:val="24"/>
        </w:rPr>
        <w:t>Sistemi i burgjeve dhe qendrat e paraburgimit mbeten një çështje shqetësuese.</w:t>
      </w:r>
      <w:r w:rsidRPr="007922E5">
        <w:rPr>
          <w:rFonts w:ascii="Times New Roman" w:hAnsi="Times New Roman" w:cs="Times New Roman"/>
          <w:sz w:val="24"/>
          <w:szCs w:val="24"/>
        </w:rPr>
        <w:t xml:space="preserve"> </w:t>
      </w:r>
      <w:r w:rsidRPr="00D85A6B">
        <w:rPr>
          <w:rFonts w:ascii="Times New Roman" w:hAnsi="Times New Roman" w:cs="Times New Roman"/>
          <w:b/>
          <w:bCs/>
          <w:i/>
          <w:iCs/>
          <w:sz w:val="24"/>
          <w:szCs w:val="24"/>
        </w:rPr>
        <w:t>Çështjet e vjetra</w:t>
      </w:r>
      <w:r w:rsidR="00D85A6B">
        <w:rPr>
          <w:rFonts w:ascii="Times New Roman" w:hAnsi="Times New Roman" w:cs="Times New Roman"/>
          <w:b/>
          <w:bCs/>
          <w:i/>
          <w:iCs/>
          <w:sz w:val="24"/>
          <w:szCs w:val="24"/>
        </w:rPr>
        <w:t xml:space="preserve"> te gjata,</w:t>
      </w:r>
      <w:r w:rsidRPr="00D85A6B">
        <w:rPr>
          <w:rFonts w:ascii="Times New Roman" w:hAnsi="Times New Roman" w:cs="Times New Roman"/>
          <w:b/>
          <w:bCs/>
          <w:i/>
          <w:iCs/>
          <w:sz w:val="24"/>
          <w:szCs w:val="24"/>
        </w:rPr>
        <w:t xml:space="preserve"> përfshijnë ndikimin politik, korrupsionin dhe menaxhimin e dobët, si dhe mungesën e stafit, infrastrukturën e dobët, mungesën e kujdesit shëndetësor dhe sigurisë. Mungesa e inspektimeve, programeve të punësimit dhe riintegrimit për të burgosurit janë çështje të tjera shqetësuese.</w:t>
      </w:r>
    </w:p>
    <w:p w:rsidR="0082356E" w:rsidRPr="007922E5" w:rsidRDefault="0082356E" w:rsidP="00D85A6B">
      <w:pPr>
        <w:jc w:val="both"/>
        <w:rPr>
          <w:rFonts w:ascii="Times New Roman" w:hAnsi="Times New Roman" w:cs="Times New Roman"/>
          <w:sz w:val="24"/>
          <w:szCs w:val="24"/>
        </w:rPr>
      </w:pPr>
      <w:r w:rsidRPr="007922E5">
        <w:rPr>
          <w:rFonts w:ascii="Times New Roman" w:hAnsi="Times New Roman" w:cs="Times New Roman"/>
          <w:sz w:val="24"/>
          <w:szCs w:val="24"/>
        </w:rPr>
        <w:t xml:space="preserve">Në të gjithë vendin, numri i të burgosurve është tashmë nën kapacitetin e sistemit të burgjeve, me 95% të kapacitetit të përdorur. Drejtori i Përgjithshëm i Burgjeve, i emëruar në </w:t>
      </w:r>
      <w:r w:rsidR="009E21C2" w:rsidRPr="007922E5">
        <w:rPr>
          <w:rFonts w:ascii="Times New Roman" w:hAnsi="Times New Roman" w:cs="Times New Roman"/>
          <w:sz w:val="24"/>
          <w:szCs w:val="24"/>
        </w:rPr>
        <w:t>D</w:t>
      </w:r>
      <w:r w:rsidRPr="007922E5">
        <w:rPr>
          <w:rFonts w:ascii="Times New Roman" w:hAnsi="Times New Roman" w:cs="Times New Roman"/>
          <w:sz w:val="24"/>
          <w:szCs w:val="24"/>
        </w:rPr>
        <w:t>hjetor 2021, ka demonstruar një angazhim proaktiv për të përmirësuar mjediset e burgjeve, duke përfshirë rishikimin e sigurisë së burgjeve dhe rehabilitimin e të burgosurve. Vëmendje e veçantë duhet t'i kushtohet de-radikalizimit në burg dhe pas lirimit.</w:t>
      </w:r>
      <w:r w:rsidR="00D85A6B">
        <w:rPr>
          <w:rFonts w:ascii="Times New Roman" w:hAnsi="Times New Roman" w:cs="Times New Roman"/>
          <w:sz w:val="24"/>
          <w:szCs w:val="24"/>
        </w:rPr>
        <w:t xml:space="preserve"> </w:t>
      </w:r>
      <w:r w:rsidRPr="007922E5">
        <w:rPr>
          <w:rFonts w:ascii="Times New Roman" w:hAnsi="Times New Roman" w:cs="Times New Roman"/>
          <w:sz w:val="24"/>
          <w:szCs w:val="24"/>
        </w:rPr>
        <w:t>Megjithëse plani i veprimit 2019-2022 për zhvillimin e sistemit të burgjeve së shpejti</w:t>
      </w:r>
      <w:r w:rsidR="00D85A6B">
        <w:rPr>
          <w:rFonts w:ascii="Times New Roman" w:hAnsi="Times New Roman" w:cs="Times New Roman"/>
          <w:sz w:val="24"/>
          <w:szCs w:val="24"/>
        </w:rPr>
        <w:t>,</w:t>
      </w:r>
      <w:r w:rsidRPr="007922E5">
        <w:rPr>
          <w:rFonts w:ascii="Times New Roman" w:hAnsi="Times New Roman" w:cs="Times New Roman"/>
          <w:sz w:val="24"/>
          <w:szCs w:val="24"/>
        </w:rPr>
        <w:t xml:space="preserve"> nuk do të zbatohet më, </w:t>
      </w:r>
      <w:r w:rsidRPr="00D85A6B">
        <w:rPr>
          <w:rFonts w:ascii="Times New Roman" w:hAnsi="Times New Roman" w:cs="Times New Roman"/>
          <w:b/>
          <w:bCs/>
          <w:sz w:val="24"/>
          <w:szCs w:val="24"/>
        </w:rPr>
        <w:t>ai mbetet i rëndësishëm</w:t>
      </w:r>
      <w:r w:rsidRPr="007922E5">
        <w:rPr>
          <w:rFonts w:ascii="Times New Roman" w:hAnsi="Times New Roman" w:cs="Times New Roman"/>
          <w:sz w:val="24"/>
          <w:szCs w:val="24"/>
        </w:rPr>
        <w:t xml:space="preserve"> pasi </w:t>
      </w:r>
      <w:r w:rsidRPr="00D85A6B">
        <w:rPr>
          <w:rFonts w:ascii="Times New Roman" w:hAnsi="Times New Roman" w:cs="Times New Roman"/>
          <w:b/>
          <w:bCs/>
          <w:i/>
          <w:iCs/>
          <w:sz w:val="24"/>
          <w:szCs w:val="24"/>
        </w:rPr>
        <w:t>paketa e re ligjore penitenciare duhet ende të zbatohet në mënyrë efektive.</w:t>
      </w:r>
      <w:r w:rsidRPr="007922E5">
        <w:rPr>
          <w:rFonts w:ascii="Times New Roman" w:hAnsi="Times New Roman" w:cs="Times New Roman"/>
          <w:sz w:val="24"/>
          <w:szCs w:val="24"/>
        </w:rPr>
        <w:t xml:space="preserve"> Një akt nënligjor për punësimin e të burgosurve është miratuar në tetor të vitit 2021 dhe Ministri i Drejtësisë ka ndërmarrë përpjekje për punësimin e 580 të burgosurve.</w:t>
      </w:r>
      <w:r w:rsidR="00D85A6B">
        <w:rPr>
          <w:rFonts w:ascii="Times New Roman" w:hAnsi="Times New Roman" w:cs="Times New Roman"/>
          <w:sz w:val="24"/>
          <w:szCs w:val="24"/>
        </w:rPr>
        <w:t xml:space="preserve"> </w:t>
      </w:r>
      <w:r w:rsidRPr="007922E5">
        <w:rPr>
          <w:rFonts w:ascii="Times New Roman" w:hAnsi="Times New Roman" w:cs="Times New Roman"/>
          <w:sz w:val="24"/>
          <w:szCs w:val="24"/>
        </w:rPr>
        <w:t xml:space="preserve">Në vitin 2021, përdorimi i alternativave ndaj kujdestarisë vazhdoi të rritet. Shërbimi i provës mbetet plotësisht funksional në të gjithë vendin dhe ofron alternativa të dënimit me burgim, përfshirë edhe për të miturit. </w:t>
      </w:r>
      <w:r w:rsidRPr="00D85A6B">
        <w:rPr>
          <w:rFonts w:ascii="Times New Roman" w:hAnsi="Times New Roman" w:cs="Times New Roman"/>
          <w:i/>
          <w:iCs/>
          <w:sz w:val="24"/>
          <w:szCs w:val="24"/>
        </w:rPr>
        <w:t>Megjithatë, përdorimi i monitorimit elektronik është pezulluar që nga viti 2017 për shkak të një mosmarrëveshjeje ligjore të pazgjidhur.</w:t>
      </w:r>
    </w:p>
    <w:p w:rsidR="0082356E" w:rsidRPr="00F3538C" w:rsidRDefault="0082356E" w:rsidP="00F3538C">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Legjislacioni për </w:t>
      </w:r>
      <w:r w:rsidRPr="007922E5">
        <w:rPr>
          <w:rFonts w:ascii="Times New Roman" w:hAnsi="Times New Roman" w:cs="Times New Roman"/>
          <w:b/>
          <w:sz w:val="24"/>
          <w:szCs w:val="24"/>
        </w:rPr>
        <w:t>mbrojtjen e të dhënave personale</w:t>
      </w:r>
      <w:r w:rsidRPr="007922E5">
        <w:rPr>
          <w:rFonts w:ascii="Times New Roman" w:hAnsi="Times New Roman" w:cs="Times New Roman"/>
          <w:sz w:val="24"/>
          <w:szCs w:val="24"/>
        </w:rPr>
        <w:t xml:space="preserve"> </w:t>
      </w:r>
      <w:r w:rsidRPr="00D85A6B">
        <w:rPr>
          <w:rFonts w:ascii="Times New Roman" w:hAnsi="Times New Roman" w:cs="Times New Roman"/>
          <w:i/>
          <w:iCs/>
          <w:sz w:val="24"/>
          <w:szCs w:val="24"/>
        </w:rPr>
        <w:t>ende duhet të përafrohet më tej me Rregulloren e Përgjithshme të BE-së për Mbrojtjen e të Dhënave (GDPR) dhe direktivën përkatëse të "zbatimit të ligjit".</w:t>
      </w:r>
      <w:r w:rsidRPr="007922E5">
        <w:rPr>
          <w:rFonts w:ascii="Times New Roman" w:hAnsi="Times New Roman" w:cs="Times New Roman"/>
          <w:sz w:val="24"/>
          <w:szCs w:val="24"/>
        </w:rPr>
        <w:t xml:space="preserve"> Procesi i modernizimit ka nisur. Një projektligj që synon të arrijë këtë përafrim është </w:t>
      </w:r>
      <w:r w:rsidR="009E21C2" w:rsidRPr="007922E5">
        <w:rPr>
          <w:rFonts w:ascii="Times New Roman" w:hAnsi="Times New Roman" w:cs="Times New Roman"/>
          <w:sz w:val="24"/>
          <w:szCs w:val="24"/>
        </w:rPr>
        <w:t>paraqitur</w:t>
      </w:r>
      <w:r w:rsidRPr="007922E5">
        <w:rPr>
          <w:rFonts w:ascii="Times New Roman" w:hAnsi="Times New Roman" w:cs="Times New Roman"/>
          <w:sz w:val="24"/>
          <w:szCs w:val="24"/>
        </w:rPr>
        <w:t xml:space="preserve"> në konsultime</w:t>
      </w:r>
      <w:r w:rsidR="009E21C2" w:rsidRPr="007922E5">
        <w:rPr>
          <w:rFonts w:ascii="Times New Roman" w:hAnsi="Times New Roman" w:cs="Times New Roman"/>
          <w:sz w:val="24"/>
          <w:szCs w:val="24"/>
        </w:rPr>
        <w:t>t</w:t>
      </w:r>
      <w:r w:rsidRPr="007922E5">
        <w:rPr>
          <w:rFonts w:ascii="Times New Roman" w:hAnsi="Times New Roman" w:cs="Times New Roman"/>
          <w:sz w:val="24"/>
          <w:szCs w:val="24"/>
        </w:rPr>
        <w:t xml:space="preserve"> publike, të cilat zgjatën nga gjysma e qershorit deri në gjysmën e korrikut 2022. </w:t>
      </w:r>
      <w:r w:rsidRPr="00D85A6B">
        <w:rPr>
          <w:rFonts w:ascii="Times New Roman" w:hAnsi="Times New Roman" w:cs="Times New Roman"/>
          <w:b/>
          <w:bCs/>
          <w:i/>
          <w:iCs/>
          <w:sz w:val="24"/>
          <w:szCs w:val="24"/>
        </w:rPr>
        <w:t xml:space="preserve">Burime shtesë njerëzore dhe financiare do të duhet t'i </w:t>
      </w:r>
      <w:r w:rsidR="00D85A6B">
        <w:rPr>
          <w:rFonts w:ascii="Times New Roman" w:hAnsi="Times New Roman" w:cs="Times New Roman"/>
          <w:b/>
          <w:bCs/>
          <w:i/>
          <w:iCs/>
          <w:sz w:val="24"/>
          <w:szCs w:val="24"/>
        </w:rPr>
        <w:t>alokohen</w:t>
      </w:r>
      <w:r w:rsidRPr="00D85A6B">
        <w:rPr>
          <w:rFonts w:ascii="Times New Roman" w:hAnsi="Times New Roman" w:cs="Times New Roman"/>
          <w:b/>
          <w:bCs/>
          <w:i/>
          <w:iCs/>
          <w:sz w:val="24"/>
          <w:szCs w:val="24"/>
        </w:rPr>
        <w:t xml:space="preserve"> Zyrës së Komisionerit për Mbrojtjen e Informacionit dhe të Dhënave për kryerjen efektive të detyrave të </w:t>
      </w:r>
      <w:r w:rsidR="00F3538C">
        <w:rPr>
          <w:rFonts w:ascii="Times New Roman" w:hAnsi="Times New Roman" w:cs="Times New Roman"/>
          <w:b/>
          <w:bCs/>
          <w:i/>
          <w:iCs/>
          <w:sz w:val="24"/>
          <w:szCs w:val="24"/>
        </w:rPr>
        <w:t>tij</w:t>
      </w:r>
      <w:r w:rsidRPr="00D85A6B">
        <w:rPr>
          <w:rFonts w:ascii="Times New Roman" w:hAnsi="Times New Roman" w:cs="Times New Roman"/>
          <w:b/>
          <w:bCs/>
          <w:i/>
          <w:iCs/>
          <w:sz w:val="24"/>
          <w:szCs w:val="24"/>
        </w:rPr>
        <w:t xml:space="preserve"> dhe ushtrimin e kompetencave të </w:t>
      </w:r>
      <w:r w:rsidR="00F3538C">
        <w:rPr>
          <w:rFonts w:ascii="Times New Roman" w:hAnsi="Times New Roman" w:cs="Times New Roman"/>
          <w:b/>
          <w:bCs/>
          <w:i/>
          <w:iCs/>
          <w:sz w:val="24"/>
          <w:szCs w:val="24"/>
        </w:rPr>
        <w:t>tij</w:t>
      </w:r>
      <w:r w:rsidRPr="00D85A6B">
        <w:rPr>
          <w:rFonts w:ascii="Times New Roman" w:hAnsi="Times New Roman" w:cs="Times New Roman"/>
          <w:b/>
          <w:bCs/>
          <w:i/>
          <w:iCs/>
          <w:sz w:val="24"/>
          <w:szCs w:val="24"/>
        </w:rPr>
        <w:t xml:space="preserve">, për të përmbushur rolin e </w:t>
      </w:r>
      <w:r w:rsidR="00F3538C">
        <w:rPr>
          <w:rFonts w:ascii="Times New Roman" w:hAnsi="Times New Roman" w:cs="Times New Roman"/>
          <w:b/>
          <w:bCs/>
          <w:i/>
          <w:iCs/>
          <w:sz w:val="24"/>
          <w:szCs w:val="24"/>
        </w:rPr>
        <w:t>tij</w:t>
      </w:r>
      <w:r w:rsidRPr="00D85A6B">
        <w:rPr>
          <w:rFonts w:ascii="Times New Roman" w:hAnsi="Times New Roman" w:cs="Times New Roman"/>
          <w:b/>
          <w:bCs/>
          <w:i/>
          <w:iCs/>
          <w:sz w:val="24"/>
          <w:szCs w:val="24"/>
        </w:rPr>
        <w:t xml:space="preserve"> të zgjeruar.</w:t>
      </w:r>
      <w:r w:rsidRPr="007922E5">
        <w:rPr>
          <w:rFonts w:ascii="Times New Roman" w:hAnsi="Times New Roman" w:cs="Times New Roman"/>
          <w:sz w:val="24"/>
          <w:szCs w:val="24"/>
        </w:rPr>
        <w:t xml:space="preserve"> Më 22 </w:t>
      </w:r>
      <w:r w:rsidR="009E21C2" w:rsidRPr="007922E5">
        <w:rPr>
          <w:rFonts w:ascii="Times New Roman" w:hAnsi="Times New Roman" w:cs="Times New Roman"/>
          <w:sz w:val="24"/>
          <w:szCs w:val="24"/>
        </w:rPr>
        <w:t>K</w:t>
      </w:r>
      <w:r w:rsidRPr="007922E5">
        <w:rPr>
          <w:rFonts w:ascii="Times New Roman" w:hAnsi="Times New Roman" w:cs="Times New Roman"/>
          <w:sz w:val="24"/>
          <w:szCs w:val="24"/>
        </w:rPr>
        <w:t>orrik 2022, Shqipëria ratifikoi Protokollin 2018 për ndryshimin e Konventës së Këshillit të Evropës për Mbrojtjen e Individëve në lidhje me Përpunimin Automatik të të Dhënave Personale (CETS 223).</w:t>
      </w:r>
    </w:p>
    <w:p w:rsidR="0082356E" w:rsidRPr="007922E5" w:rsidRDefault="0082356E" w:rsidP="00E31BC3">
      <w:pPr>
        <w:jc w:val="both"/>
        <w:rPr>
          <w:rFonts w:ascii="Times New Roman" w:hAnsi="Times New Roman" w:cs="Times New Roman"/>
          <w:sz w:val="24"/>
          <w:szCs w:val="24"/>
        </w:rPr>
      </w:pPr>
      <w:r w:rsidRPr="007922E5">
        <w:rPr>
          <w:rFonts w:ascii="Times New Roman" w:hAnsi="Times New Roman" w:cs="Times New Roman"/>
          <w:sz w:val="24"/>
          <w:szCs w:val="24"/>
        </w:rPr>
        <w:t xml:space="preserve">Deri më 19 </w:t>
      </w:r>
      <w:r w:rsidR="009E21C2" w:rsidRPr="007922E5">
        <w:rPr>
          <w:rFonts w:ascii="Times New Roman" w:hAnsi="Times New Roman" w:cs="Times New Roman"/>
          <w:sz w:val="24"/>
          <w:szCs w:val="24"/>
        </w:rPr>
        <w:t>M</w:t>
      </w:r>
      <w:r w:rsidRPr="007922E5">
        <w:rPr>
          <w:rFonts w:ascii="Times New Roman" w:hAnsi="Times New Roman" w:cs="Times New Roman"/>
          <w:sz w:val="24"/>
          <w:szCs w:val="24"/>
        </w:rPr>
        <w:t xml:space="preserve">aj 2022, </w:t>
      </w:r>
      <w:r w:rsidR="00F3538C">
        <w:rPr>
          <w:rFonts w:ascii="Times New Roman" w:hAnsi="Times New Roman" w:cs="Times New Roman"/>
          <w:sz w:val="24"/>
          <w:szCs w:val="24"/>
        </w:rPr>
        <w:t>Komisioneri</w:t>
      </w:r>
      <w:r w:rsidRPr="007922E5">
        <w:rPr>
          <w:rFonts w:ascii="Times New Roman" w:hAnsi="Times New Roman" w:cs="Times New Roman"/>
          <w:sz w:val="24"/>
          <w:szCs w:val="24"/>
        </w:rPr>
        <w:t xml:space="preserve"> ka pranuar 496 ankesa dhe ka kryer 56 inspektime administrative, që paraqet një nivel pak më të lartë të aktivitetit krahasuar me vitin 2020. </w:t>
      </w:r>
      <w:r w:rsidR="00F3538C">
        <w:rPr>
          <w:rFonts w:ascii="Times New Roman" w:hAnsi="Times New Roman" w:cs="Times New Roman"/>
          <w:sz w:val="24"/>
          <w:szCs w:val="24"/>
        </w:rPr>
        <w:lastRenderedPageBreak/>
        <w:t>Komisioneri</w:t>
      </w:r>
      <w:r w:rsidR="00F3538C" w:rsidRPr="007922E5">
        <w:rPr>
          <w:rFonts w:ascii="Times New Roman" w:hAnsi="Times New Roman" w:cs="Times New Roman"/>
          <w:sz w:val="24"/>
          <w:szCs w:val="24"/>
        </w:rPr>
        <w:t xml:space="preserve"> </w:t>
      </w:r>
      <w:r w:rsidRPr="007922E5">
        <w:rPr>
          <w:rFonts w:ascii="Times New Roman" w:hAnsi="Times New Roman" w:cs="Times New Roman"/>
          <w:sz w:val="24"/>
          <w:szCs w:val="24"/>
        </w:rPr>
        <w:t xml:space="preserve">ka nxjerrë 42 rekomandime dhe 34 sanksione administrative. </w:t>
      </w:r>
      <w:r w:rsidRPr="00F3538C">
        <w:rPr>
          <w:rFonts w:ascii="Times New Roman" w:hAnsi="Times New Roman" w:cs="Times New Roman"/>
          <w:b/>
          <w:bCs/>
          <w:i/>
          <w:iCs/>
          <w:sz w:val="24"/>
          <w:szCs w:val="24"/>
        </w:rPr>
        <w:t>Pas rrjedhjes së të dhënave personale që u shfaq gjatë zgjedhjeve të përgjithshme të vitit 2021, një shkelje e re serioze dhe masive e të dhënave personale ndodhi në dhjetor 2021, kur u zbulua një bazë e të dhënave që përmban të dhëna personale të më shumë se 600 000 punonjësve në sektorin privat dhe publik</w:t>
      </w:r>
      <w:r w:rsidRPr="007922E5">
        <w:rPr>
          <w:rFonts w:ascii="Times New Roman" w:hAnsi="Times New Roman" w:cs="Times New Roman"/>
          <w:sz w:val="24"/>
          <w:szCs w:val="24"/>
        </w:rPr>
        <w:t xml:space="preserve">. Për këtë Komisioneri nisi një hetim administrativ në Drejtorinë e Përgjithshme të Tatimeve për këtë çështje. Një gjetje ndërsektoriale e </w:t>
      </w:r>
      <w:r w:rsidR="00F3538C">
        <w:rPr>
          <w:rFonts w:ascii="Times New Roman" w:hAnsi="Times New Roman" w:cs="Times New Roman"/>
          <w:sz w:val="24"/>
          <w:szCs w:val="24"/>
        </w:rPr>
        <w:t>Komisioneri</w:t>
      </w:r>
      <w:r w:rsidR="00F3538C" w:rsidRPr="007922E5">
        <w:rPr>
          <w:rFonts w:ascii="Times New Roman" w:hAnsi="Times New Roman" w:cs="Times New Roman"/>
          <w:sz w:val="24"/>
          <w:szCs w:val="24"/>
        </w:rPr>
        <w:t xml:space="preserve"> </w:t>
      </w:r>
      <w:r w:rsidRPr="007922E5">
        <w:rPr>
          <w:rFonts w:ascii="Times New Roman" w:hAnsi="Times New Roman" w:cs="Times New Roman"/>
          <w:sz w:val="24"/>
          <w:szCs w:val="24"/>
        </w:rPr>
        <w:t xml:space="preserve">gjatë inspektimeve të tij administrative </w:t>
      </w:r>
      <w:r w:rsidRPr="00F3538C">
        <w:rPr>
          <w:rFonts w:ascii="Times New Roman" w:hAnsi="Times New Roman" w:cs="Times New Roman"/>
          <w:b/>
          <w:bCs/>
          <w:i/>
          <w:iCs/>
          <w:sz w:val="24"/>
          <w:szCs w:val="24"/>
        </w:rPr>
        <w:t>ka qenë mungesa e ndërgjegjësimit në institucionet publike për detyrimet e përcaktuara në ligjin për mbrojtjen e të dhënave personale</w:t>
      </w:r>
      <w:r w:rsidRPr="007922E5">
        <w:rPr>
          <w:rFonts w:ascii="Times New Roman" w:hAnsi="Times New Roman" w:cs="Times New Roman"/>
          <w:sz w:val="24"/>
          <w:szCs w:val="24"/>
        </w:rPr>
        <w:t>.</w:t>
      </w:r>
    </w:p>
    <w:p w:rsidR="0082356E" w:rsidRDefault="0082356E" w:rsidP="00E31BC3">
      <w:pPr>
        <w:jc w:val="both"/>
        <w:rPr>
          <w:rFonts w:ascii="Times New Roman" w:hAnsi="Times New Roman" w:cs="Times New Roman"/>
          <w:b/>
          <w:bCs/>
          <w:i/>
          <w:iCs/>
          <w:sz w:val="24"/>
          <w:szCs w:val="24"/>
        </w:rPr>
      </w:pPr>
      <w:r w:rsidRPr="007922E5">
        <w:rPr>
          <w:rFonts w:ascii="Times New Roman" w:hAnsi="Times New Roman" w:cs="Times New Roman"/>
          <w:sz w:val="24"/>
          <w:szCs w:val="24"/>
        </w:rPr>
        <w:t xml:space="preserve">Në përgjithësi, </w:t>
      </w:r>
      <w:r w:rsidRPr="007922E5">
        <w:rPr>
          <w:rFonts w:ascii="Times New Roman" w:hAnsi="Times New Roman" w:cs="Times New Roman"/>
          <w:b/>
          <w:sz w:val="24"/>
          <w:szCs w:val="24"/>
        </w:rPr>
        <w:t>liria e mendimit</w:t>
      </w:r>
      <w:r w:rsidRPr="007922E5">
        <w:rPr>
          <w:rFonts w:ascii="Times New Roman" w:hAnsi="Times New Roman" w:cs="Times New Roman"/>
          <w:sz w:val="24"/>
          <w:szCs w:val="24"/>
        </w:rPr>
        <w:t xml:space="preserve">, </w:t>
      </w:r>
      <w:r w:rsidRPr="007922E5">
        <w:rPr>
          <w:rFonts w:ascii="Times New Roman" w:hAnsi="Times New Roman" w:cs="Times New Roman"/>
          <w:b/>
          <w:sz w:val="24"/>
          <w:szCs w:val="24"/>
        </w:rPr>
        <w:t xml:space="preserve">ndërgjegjes </w:t>
      </w:r>
      <w:r w:rsidRPr="007922E5">
        <w:rPr>
          <w:rFonts w:ascii="Times New Roman" w:hAnsi="Times New Roman" w:cs="Times New Roman"/>
          <w:sz w:val="24"/>
          <w:szCs w:val="24"/>
        </w:rPr>
        <w:t xml:space="preserve">dhe </w:t>
      </w:r>
      <w:r w:rsidRPr="007922E5">
        <w:rPr>
          <w:rFonts w:ascii="Times New Roman" w:hAnsi="Times New Roman" w:cs="Times New Roman"/>
          <w:b/>
          <w:sz w:val="24"/>
          <w:szCs w:val="24"/>
        </w:rPr>
        <w:t>fesë</w:t>
      </w:r>
      <w:r w:rsidRPr="007922E5">
        <w:rPr>
          <w:rFonts w:ascii="Times New Roman" w:hAnsi="Times New Roman" w:cs="Times New Roman"/>
          <w:sz w:val="24"/>
          <w:szCs w:val="24"/>
        </w:rPr>
        <w:t xml:space="preserve"> </w:t>
      </w:r>
      <w:r w:rsidR="00DC427D">
        <w:rPr>
          <w:rFonts w:ascii="Times New Roman" w:eastAsia="Times New Roman" w:hAnsi="Times New Roman"/>
          <w:sz w:val="24"/>
          <w:lang w:val="sq-AL"/>
        </w:rPr>
        <w:t>në përgjithësi u respektuan.</w:t>
      </w:r>
      <w:r w:rsidRPr="007922E5">
        <w:rPr>
          <w:rFonts w:ascii="Times New Roman" w:hAnsi="Times New Roman" w:cs="Times New Roman"/>
          <w:sz w:val="24"/>
          <w:szCs w:val="24"/>
        </w:rPr>
        <w:t xml:space="preserve"> Shteti vazhdoi të ofrojë të njëjtin nivel të mbështetjes financiare për komunitetet fetare. Në </w:t>
      </w:r>
      <w:r w:rsidR="00AE0C0D" w:rsidRPr="007922E5">
        <w:rPr>
          <w:rFonts w:ascii="Times New Roman" w:hAnsi="Times New Roman" w:cs="Times New Roman"/>
          <w:sz w:val="24"/>
          <w:szCs w:val="24"/>
        </w:rPr>
        <w:t>M</w:t>
      </w:r>
      <w:r w:rsidRPr="007922E5">
        <w:rPr>
          <w:rFonts w:ascii="Times New Roman" w:hAnsi="Times New Roman" w:cs="Times New Roman"/>
          <w:sz w:val="24"/>
          <w:szCs w:val="24"/>
        </w:rPr>
        <w:t xml:space="preserve">aj 2022, shteti ndau 935 000 euro për komunitetet katolike, </w:t>
      </w:r>
      <w:r w:rsidR="00AE0C0D" w:rsidRPr="007922E5">
        <w:rPr>
          <w:rFonts w:ascii="Times New Roman" w:hAnsi="Times New Roman" w:cs="Times New Roman"/>
          <w:sz w:val="24"/>
          <w:szCs w:val="24"/>
        </w:rPr>
        <w:t>myslimane</w:t>
      </w:r>
      <w:r w:rsidRPr="007922E5">
        <w:rPr>
          <w:rFonts w:ascii="Times New Roman" w:hAnsi="Times New Roman" w:cs="Times New Roman"/>
          <w:sz w:val="24"/>
          <w:szCs w:val="24"/>
        </w:rPr>
        <w:t xml:space="preserve">, ortodokse dhe bektashiane për funksionimin administrativ të komuniteteve dhe edukimin fetar. </w:t>
      </w:r>
      <w:r w:rsidRPr="00DC427D">
        <w:rPr>
          <w:rFonts w:ascii="Times New Roman" w:hAnsi="Times New Roman" w:cs="Times New Roman"/>
          <w:b/>
          <w:bCs/>
          <w:i/>
          <w:iCs/>
          <w:sz w:val="24"/>
          <w:szCs w:val="24"/>
        </w:rPr>
        <w:t xml:space="preserve">Varësia e disa grupeve fetare </w:t>
      </w:r>
      <w:r w:rsidR="00AE0C0D" w:rsidRPr="00DC427D">
        <w:rPr>
          <w:rFonts w:ascii="Times New Roman" w:hAnsi="Times New Roman" w:cs="Times New Roman"/>
          <w:b/>
          <w:bCs/>
          <w:i/>
          <w:iCs/>
          <w:sz w:val="24"/>
          <w:szCs w:val="24"/>
        </w:rPr>
        <w:t>në</w:t>
      </w:r>
      <w:r w:rsidRPr="00DC427D">
        <w:rPr>
          <w:rFonts w:ascii="Times New Roman" w:hAnsi="Times New Roman" w:cs="Times New Roman"/>
          <w:b/>
          <w:bCs/>
          <w:i/>
          <w:iCs/>
          <w:sz w:val="24"/>
          <w:szCs w:val="24"/>
        </w:rPr>
        <w:t xml:space="preserve"> mbështetj</w:t>
      </w:r>
      <w:r w:rsidR="00AE0C0D" w:rsidRPr="00DC427D">
        <w:rPr>
          <w:rFonts w:ascii="Times New Roman" w:hAnsi="Times New Roman" w:cs="Times New Roman"/>
          <w:b/>
          <w:bCs/>
          <w:i/>
          <w:iCs/>
          <w:sz w:val="24"/>
          <w:szCs w:val="24"/>
        </w:rPr>
        <w:t>en</w:t>
      </w:r>
      <w:r w:rsidRPr="00DC427D">
        <w:rPr>
          <w:rFonts w:ascii="Times New Roman" w:hAnsi="Times New Roman" w:cs="Times New Roman"/>
          <w:b/>
          <w:bCs/>
          <w:i/>
          <w:iCs/>
          <w:sz w:val="24"/>
          <w:szCs w:val="24"/>
        </w:rPr>
        <w:t xml:space="preserve"> financiare nga palët e treta krijon dobësi. Kthimi i pronave që u përkasin grupeve fetare dhe të marra nga shteti gjatë komunizmit mbetet një çështje e pazgjidhur.</w:t>
      </w:r>
    </w:p>
    <w:p w:rsidR="00E24640" w:rsidRPr="00A00FF4"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sz w:val="24"/>
          <w:szCs w:val="24"/>
          <w:lang w:val="sq-AL"/>
        </w:rPr>
      </w:pPr>
      <w:r w:rsidRPr="00A00FF4">
        <w:rPr>
          <w:rFonts w:ascii="Times New Roman" w:eastAsia="Calibri" w:hAnsi="Times New Roman" w:cs="Times New Roman"/>
          <w:b/>
          <w:sz w:val="24"/>
          <w:szCs w:val="24"/>
          <w:lang w:val="sq-AL"/>
        </w:rPr>
        <w:t>Liria e shprehjes</w:t>
      </w:r>
    </w:p>
    <w:p w:rsidR="00E24640" w:rsidRPr="00A00FF4"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sz w:val="24"/>
          <w:szCs w:val="24"/>
          <w:u w:val="single"/>
          <w:lang w:val="sq-AL"/>
        </w:rPr>
      </w:pPr>
    </w:p>
    <w:p w:rsidR="00E24640" w:rsidRPr="00E24640"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Vendi ka </w:t>
      </w:r>
      <w:r w:rsidRPr="00A00FF4">
        <w:rPr>
          <w:rFonts w:ascii="Times New Roman" w:eastAsia="Calibri" w:hAnsi="Times New Roman" w:cs="Times New Roman"/>
          <w:b/>
          <w:sz w:val="24"/>
          <w:szCs w:val="24"/>
          <w:lang w:val="sq-AL"/>
        </w:rPr>
        <w:t xml:space="preserve">një nivel të caktuar përgatitjeje / është i përgatitur </w:t>
      </w:r>
      <w:r w:rsidRPr="00A00FF4">
        <w:rPr>
          <w:rFonts w:ascii="Times New Roman" w:eastAsia="Calibri" w:hAnsi="Times New Roman" w:cs="Times New Roman"/>
          <w:sz w:val="24"/>
          <w:szCs w:val="24"/>
          <w:lang w:val="sq-AL"/>
        </w:rPr>
        <w:t xml:space="preserve">në nivel të moderuar në fushën e lirisë së shprehjes. </w:t>
      </w:r>
      <w:r w:rsidRPr="00A00FF4">
        <w:rPr>
          <w:rFonts w:ascii="Times New Roman" w:eastAsia="Calibri" w:hAnsi="Times New Roman" w:cs="Times New Roman"/>
          <w:b/>
          <w:sz w:val="24"/>
          <w:szCs w:val="24"/>
          <w:lang w:val="sq-AL"/>
        </w:rPr>
        <w:t>Nuk është bërë progres</w:t>
      </w:r>
      <w:r w:rsidRPr="00A00FF4">
        <w:rPr>
          <w:rFonts w:ascii="Times New Roman" w:eastAsia="Calibri" w:hAnsi="Times New Roman" w:cs="Times New Roman"/>
          <w:sz w:val="24"/>
          <w:szCs w:val="24"/>
          <w:lang w:val="sq-AL"/>
        </w:rPr>
        <w:t xml:space="preserve"> gjatë periudhës raportuese. </w:t>
      </w:r>
      <w:r w:rsidRPr="00E24640">
        <w:rPr>
          <w:rFonts w:ascii="Times New Roman" w:eastAsia="Calibri" w:hAnsi="Times New Roman" w:cs="Times New Roman"/>
          <w:b/>
          <w:i/>
          <w:sz w:val="24"/>
          <w:szCs w:val="24"/>
          <w:lang w:val="sq-AL"/>
        </w:rPr>
        <w:t>Pavarësia e medias dhe cilësia e gazetarisë mbeten të penguara nga ndërthurja e interesave të biznesit dhe politikës. Fushatat e dezinformimit janë të përsëritura veçanërisht në mediat online. Gjatë periudhës së raportimit u panë raste kërcënimesh dhe fushata shpifjesh në on-line kundër gazetarëve që raportonin mbi çështjet e sundimit të ligjit, korrupsionit dhe drejtësisë.</w:t>
      </w:r>
    </w:p>
    <w:p w:rsidR="00E24640" w:rsidRPr="00A00FF4"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Rekomandimet e vitit të kaluar ende duhet të zbatohen dhe për këtë arsye, mbeten të vlefshme. Në adresimin e mangësive të vazhdueshme, Shqipëria duhet:</w:t>
      </w:r>
    </w:p>
    <w:p w:rsidR="00E24640" w:rsidRPr="00E24640"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 </w:t>
      </w:r>
      <w:r w:rsidRPr="00E24640">
        <w:rPr>
          <w:rFonts w:ascii="Times New Roman" w:eastAsia="Calibri" w:hAnsi="Times New Roman" w:cs="Times New Roman"/>
          <w:b/>
          <w:i/>
          <w:sz w:val="24"/>
          <w:szCs w:val="24"/>
          <w:lang w:val="sq-AL"/>
        </w:rPr>
        <w:t>Të miratojë një politikë me zero tolerancë ndaj kërcënimit dhe sulmeve ndaj gazetarëve, si dhe ndaj kërcënimeve ndaj medias, duke përfshirë ato në diskursin politik dhe në margjinat e demonstratave;</w:t>
      </w:r>
    </w:p>
    <w:p w:rsidR="00E24640" w:rsidRPr="00E24640"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E24640">
        <w:rPr>
          <w:rFonts w:ascii="Times New Roman" w:eastAsia="Calibri" w:hAnsi="Times New Roman" w:cs="Times New Roman"/>
          <w:b/>
          <w:i/>
          <w:sz w:val="24"/>
          <w:szCs w:val="24"/>
          <w:lang w:val="sq-AL"/>
        </w:rPr>
        <w:t> Të garantojë se kërkesat ligjore për transparencën e pronësisë dhe financimit të medias, dhe kufizimet e saj, si dhe kërkesat për reklamat publike, janë në harmoni me standardet ndërkombëtare;</w:t>
      </w:r>
    </w:p>
    <w:p w:rsidR="00E24640" w:rsidRPr="00E24640" w:rsidRDefault="00E24640" w:rsidP="00E24640">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E24640">
        <w:rPr>
          <w:rFonts w:ascii="Times New Roman" w:eastAsia="Calibri" w:hAnsi="Times New Roman" w:cs="Times New Roman"/>
          <w:b/>
          <w:i/>
          <w:sz w:val="24"/>
          <w:szCs w:val="24"/>
          <w:lang w:val="sq-AL"/>
        </w:rPr>
        <w:t> Të garantojë zbatimin e Kodit të Punës dhe të fuqizojë mbrojtjen e punës dhe të drejtave sociale të gazetarëve shqiptarë.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E24640" w:rsidRDefault="00E24640" w:rsidP="00E24640">
      <w:pPr>
        <w:spacing w:afterLines="160" w:after="384"/>
        <w:contextualSpacing/>
        <w:jc w:val="both"/>
        <w:rPr>
          <w:rFonts w:ascii="Times New Roman" w:eastAsia="Calibri" w:hAnsi="Times New Roman" w:cs="Times New Roman"/>
          <w:b/>
          <w:sz w:val="24"/>
          <w:szCs w:val="24"/>
          <w:u w:val="single"/>
          <w:lang w:val="sq-AL"/>
        </w:rPr>
      </w:pPr>
      <w:r w:rsidRPr="00E24640">
        <w:rPr>
          <w:rFonts w:ascii="Times New Roman" w:eastAsia="Calibri" w:hAnsi="Times New Roman" w:cs="Times New Roman"/>
          <w:b/>
          <w:sz w:val="24"/>
          <w:szCs w:val="24"/>
          <w:u w:val="single"/>
          <w:lang w:val="sq-AL"/>
        </w:rPr>
        <w:t>Kanosja e gazetarëve</w:t>
      </w:r>
    </w:p>
    <w:p w:rsidR="00E24640" w:rsidRPr="00A00FF4" w:rsidRDefault="00E24640" w:rsidP="00E24640">
      <w:pPr>
        <w:spacing w:afterLines="160" w:after="384"/>
        <w:contextualSpacing/>
        <w:jc w:val="both"/>
        <w:rPr>
          <w:rFonts w:ascii="Times New Roman" w:eastAsia="Calibri" w:hAnsi="Times New Roman" w:cs="Times New Roman"/>
          <w:b/>
          <w:sz w:val="24"/>
          <w:szCs w:val="24"/>
          <w:u w:val="single"/>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disa </w:t>
      </w:r>
      <w:r w:rsidRPr="004D154D">
        <w:rPr>
          <w:rFonts w:ascii="Times New Roman" w:eastAsia="Calibri" w:hAnsi="Times New Roman" w:cs="Times New Roman"/>
          <w:b/>
          <w:i/>
          <w:sz w:val="24"/>
          <w:szCs w:val="24"/>
          <w:lang w:val="sq-AL"/>
        </w:rPr>
        <w:t>raste aktorët politikë vazhduan të shpreheshin kundër medias dhe të përdornin gjuhë denigruese kundër gazetarëve</w:t>
      </w:r>
      <w:r w:rsidRPr="00A00FF4">
        <w:rPr>
          <w:rFonts w:ascii="Times New Roman" w:eastAsia="Calibri" w:hAnsi="Times New Roman" w:cs="Times New Roman"/>
          <w:sz w:val="24"/>
          <w:szCs w:val="24"/>
          <w:lang w:val="sq-AL"/>
        </w:rPr>
        <w:t xml:space="preserve">. Gjatë periudhës raportuese, në prokuroritë e juridiksionit të përgjithshëm u regjistruan zyrtarisht katër raste të reja të dhunës fizike të dyshuar ndaj gazetarëve gjatë ushtrimit të detyrës. Dy prej rasteve janë mbyllur dhe dy janë ende në proces. </w:t>
      </w:r>
      <w:r w:rsidRPr="004D154D">
        <w:rPr>
          <w:rFonts w:ascii="Times New Roman" w:eastAsia="Calibri" w:hAnsi="Times New Roman" w:cs="Times New Roman"/>
          <w:b/>
          <w:i/>
          <w:sz w:val="24"/>
          <w:szCs w:val="24"/>
          <w:lang w:val="sq-AL"/>
        </w:rPr>
        <w:t>Në Korrik 2021, policia arrestoi dy gazetarë që po filmonin një operacion kundër lëndëve narkotike</w:t>
      </w:r>
      <w:r w:rsidRPr="00A00FF4">
        <w:rPr>
          <w:rFonts w:ascii="Times New Roman" w:eastAsia="Calibri" w:hAnsi="Times New Roman" w:cs="Times New Roman"/>
          <w:sz w:val="24"/>
          <w:szCs w:val="24"/>
          <w:lang w:val="sq-AL"/>
        </w:rPr>
        <w:t xml:space="preserve">. Në Nëntor 2021, një gazetar investigativ dhe një kameraman thuajse u shtynë në një luginë nga një oficer policie teksa po i afroheshin vendit të vrasjes së një rasti për të cilin po raportonin. Në Janar </w:t>
      </w:r>
      <w:r w:rsidRPr="00A00FF4">
        <w:rPr>
          <w:rFonts w:ascii="Times New Roman" w:eastAsia="Calibri" w:hAnsi="Times New Roman" w:cs="Times New Roman"/>
          <w:sz w:val="24"/>
          <w:szCs w:val="24"/>
          <w:lang w:val="sq-AL"/>
        </w:rPr>
        <w:lastRenderedPageBreak/>
        <w:t xml:space="preserve">2022, nëntë gazetarë dhe ekipe mediatike u </w:t>
      </w:r>
      <w:r w:rsidRPr="004D154D">
        <w:rPr>
          <w:rFonts w:ascii="Times New Roman" w:eastAsia="Calibri" w:hAnsi="Times New Roman" w:cs="Times New Roman"/>
          <w:b/>
          <w:i/>
          <w:sz w:val="24"/>
          <w:szCs w:val="24"/>
          <w:lang w:val="sq-AL"/>
        </w:rPr>
        <w:t>përballën me reagimin e policisë ndaj një proteste në Tiranë, por autoritetet argumentuan se veprimet e policisë nuk kishin në shënjestër median</w:t>
      </w:r>
      <w:r w:rsidRPr="00A00FF4">
        <w:rPr>
          <w:rFonts w:ascii="Times New Roman" w:eastAsia="Calibri" w:hAnsi="Times New Roman" w:cs="Times New Roman"/>
          <w:sz w:val="24"/>
          <w:szCs w:val="24"/>
          <w:lang w:val="sq-AL"/>
        </w:rPr>
        <w:t xml:space="preserve">. Në të njëjtin muaj, një kameraman u detyrua nga policia bashkiake, të largohej nga një protestë lokale që po mbulonte. Në Mars 2022, Autoriteti i Mediave Audio-Vizive (AMA) bëri ​​një deklaratë duke dënuar kërcënimet nga aktorët e biznesit ndaj dy gazetarëve. Në Shkurt 2022, një media online pretendoi se ishte bërë shënjestër e sulmeve kibernetike pas publikimit të një bisede të regjistruar midis një kryebashkiaku dhe autoriteteve lokale të futbollit. Në Prill 2022, dy gazetarë që raportonin për procesin e vetingut, pretenduan se morën kërcënime dhe u kanosën, në emër dhe për llogari të një zyrtari. </w:t>
      </w:r>
      <w:r w:rsidRPr="004D154D">
        <w:rPr>
          <w:rFonts w:ascii="Times New Roman" w:eastAsia="Calibri" w:hAnsi="Times New Roman" w:cs="Times New Roman"/>
          <w:b/>
          <w:i/>
          <w:sz w:val="24"/>
          <w:szCs w:val="24"/>
          <w:lang w:val="sq-AL"/>
        </w:rPr>
        <w:t>Në përgjithësi, nuk është përmirësuar atmosfera e sulmeve verbale, fushatave shpifëse dhe akteve kërcenuese ndaj gazetarëve.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Mjedisi legjislativ</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4D154D">
        <w:rPr>
          <w:rFonts w:ascii="Times New Roman" w:eastAsia="Calibri" w:hAnsi="Times New Roman" w:cs="Times New Roman"/>
          <w:b/>
          <w:i/>
          <w:sz w:val="24"/>
          <w:szCs w:val="24"/>
          <w:lang w:val="sq-AL"/>
        </w:rPr>
        <w:t>Është thelbësore që çdo ndryshim i mundshëm në ligjin e medias të jetë në përputhje me Opinionin e Komisionit të Venecias dhe t'i nënshtrohet konsultimit të duhur me organizatat e medias. Shqipëria ka ende nevojë të përgatisë legjislacionin për forcimin e transparencës në reklamat publike.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Zbatimi i legjislacionit/institucionet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Shkurt 2022, Parlamenti plotësoi gjashtë vende vakante nga shtatë anëtarët e autoritetit rregullator audio-viziv, duke e bërë kështu autoritetin plotësisht funksional. </w:t>
      </w:r>
      <w:r w:rsidRPr="004D154D">
        <w:rPr>
          <w:rFonts w:ascii="Times New Roman" w:eastAsia="Calibri" w:hAnsi="Times New Roman" w:cs="Times New Roman"/>
          <w:b/>
          <w:i/>
          <w:sz w:val="24"/>
          <w:szCs w:val="24"/>
          <w:lang w:val="sq-AL"/>
        </w:rPr>
        <w:t>Pavarësia e disa anëtarëve të AMA-s është vënë në pikëpyetje për shkak të lidhjeve të tyre politike.</w:t>
      </w:r>
      <w:r w:rsidR="004D154D">
        <w:rPr>
          <w:rFonts w:ascii="Times New Roman" w:eastAsia="Calibri" w:hAnsi="Times New Roman" w:cs="Times New Roman"/>
          <w:b/>
          <w:i/>
          <w:sz w:val="24"/>
          <w:szCs w:val="24"/>
          <w:lang w:val="sq-AL"/>
        </w:rPr>
        <w:t xml:space="preserve"> </w:t>
      </w:r>
      <w:r w:rsidRPr="004D154D">
        <w:rPr>
          <w:rFonts w:ascii="Times New Roman" w:eastAsia="Calibri" w:hAnsi="Times New Roman" w:cs="Times New Roman"/>
          <w:b/>
          <w:i/>
          <w:sz w:val="24"/>
          <w:szCs w:val="24"/>
          <w:lang w:val="sq-AL"/>
        </w:rPr>
        <w:t>Mbetet e rëndësishme të sigurohet akses i drejtpërdrejtë dhe transparent i mediave në institucionet qeveritare dhe aktivitetet e tyre dhe në informacionin faktik jopartiak publik</w:t>
      </w:r>
      <w:r w:rsidRPr="00A00FF4">
        <w:rPr>
          <w:rFonts w:ascii="Times New Roman" w:eastAsia="Calibri" w:hAnsi="Times New Roman" w:cs="Times New Roman"/>
          <w:sz w:val="24"/>
          <w:szCs w:val="24"/>
          <w:lang w:val="sq-AL"/>
        </w:rPr>
        <w:t xml:space="preserve">. Disa organizata mediatike </w:t>
      </w:r>
      <w:r w:rsidRPr="004D154D">
        <w:rPr>
          <w:rFonts w:ascii="Times New Roman" w:eastAsia="Calibri" w:hAnsi="Times New Roman" w:cs="Times New Roman"/>
          <w:i/>
          <w:sz w:val="24"/>
          <w:szCs w:val="24"/>
          <w:lang w:val="sq-AL"/>
        </w:rPr>
        <w:t>kanë hasur vështirësi në aksesin e informacionit faktik të qeverisë</w:t>
      </w:r>
      <w:r w:rsidRPr="00A00FF4">
        <w:rPr>
          <w:rFonts w:ascii="Times New Roman" w:eastAsia="Calibri" w:hAnsi="Times New Roman" w:cs="Times New Roman"/>
          <w:sz w:val="24"/>
          <w:szCs w:val="24"/>
          <w:lang w:val="sq-AL"/>
        </w:rPr>
        <w:t xml:space="preserve"> dhe kanë shprehur shqetësime për praktikën e zakonshme të autoriteteve dhe partive politike për të ofruar përmbajtje të shkruar ose audio-vizuale të përgatitur paraprakisht. </w:t>
      </w:r>
      <w:r w:rsidRPr="004D154D">
        <w:rPr>
          <w:rFonts w:ascii="Times New Roman" w:eastAsia="Calibri" w:hAnsi="Times New Roman" w:cs="Times New Roman"/>
          <w:b/>
          <w:i/>
          <w:sz w:val="24"/>
          <w:szCs w:val="24"/>
          <w:lang w:val="sq-AL"/>
        </w:rPr>
        <w:t>Kjo kryesisht rrjedh nga nevoja që të gjitha marrëdhëniet me publikun e qeverisë të trajtohen nga Agjencia e sapokrijuar për Media dhe Informim.</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Transmetuesi i shërbimit publik</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Në Mars 2022, Parlamenti nisi zyrtarisht procesin për plotësimin e dy vendeve vakante në bordin drejtues të transmetuesit publik, i cili përbëhet nga 11 anëtarë. </w:t>
      </w:r>
      <w:r w:rsidRPr="004D154D">
        <w:rPr>
          <w:rFonts w:ascii="Times New Roman" w:eastAsia="Calibri" w:hAnsi="Times New Roman" w:cs="Times New Roman"/>
          <w:b/>
          <w:sz w:val="24"/>
          <w:szCs w:val="24"/>
          <w:lang w:val="sq-AL"/>
        </w:rPr>
        <w:t>Vendet vakante ende nuk janë plotësuar</w:t>
      </w:r>
      <w:r w:rsidRPr="00A00FF4">
        <w:rPr>
          <w:rFonts w:ascii="Times New Roman" w:eastAsia="Calibri" w:hAnsi="Times New Roman" w:cs="Times New Roman"/>
          <w:sz w:val="24"/>
          <w:szCs w:val="24"/>
          <w:lang w:val="sq-AL"/>
        </w:rPr>
        <w:t>.</w:t>
      </w:r>
      <w:r w:rsidR="004D154D">
        <w:rPr>
          <w:rFonts w:ascii="Times New Roman" w:eastAsia="Calibri" w:hAnsi="Times New Roman" w:cs="Times New Roman"/>
          <w:sz w:val="24"/>
          <w:szCs w:val="24"/>
          <w:lang w:val="sq-AL"/>
        </w:rPr>
        <w:t xml:space="preserve"> </w:t>
      </w:r>
      <w:r w:rsidRPr="00A00FF4">
        <w:rPr>
          <w:rFonts w:ascii="Times New Roman" w:eastAsia="Calibri" w:hAnsi="Times New Roman" w:cs="Times New Roman"/>
          <w:sz w:val="24"/>
          <w:szCs w:val="24"/>
          <w:lang w:val="sq-AL"/>
        </w:rPr>
        <w:t>Në Tetor 2021, organi i akuzës së posaçme kundër korrupsionit, SPAK, lëshoi urdhra arresti për ish-drejtorin e Përgjithshëm të Transmetuesit Publik dhe tre anëtarë të Komisionit të Vlerësimit të Ofertave, të cilët akuzohen për shkelje të rregullave të prokurimit publik. Në Qershor 2022, Gjykata e Posaçme e Apelit kundër Krimit të Organizuar dhe Korrupsionit, e dënoi ish-drejtorin e përgjithshëm me dy vjet burg. Atij i është hequr edhe e drejta për të ushtruar funksione publike për 5 vjet. Në Nëntor 2021, bordi drejtues i transmetuesit publik zgjodhi Drejtorin e ri të Përgjithshëm të Radio Televizionit Shqiptar.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lastRenderedPageBreak/>
        <w:t>Faktorët ekonomikë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4D154D">
        <w:rPr>
          <w:rFonts w:ascii="Times New Roman" w:eastAsia="Calibri" w:hAnsi="Times New Roman" w:cs="Times New Roman"/>
          <w:b/>
          <w:i/>
          <w:sz w:val="24"/>
          <w:szCs w:val="24"/>
          <w:lang w:val="sq-AL"/>
        </w:rPr>
        <w:t>Grupet e interesit të biznesit kanë rritur ndikimin e tyre ekonomik në tregun mediatik gjatë periudhës raportuese. Organizatat dhe aktivistët e medias kanë vazhduar të ngrenë shqetësime për përdorimin e kanaleve mediatike për të promovuar interesat ekonomike të pronarëve dhe axhendat politike. Përqendrimi i tregut dhe audiencës dhe mungesa e transparencës së financimit të medias vazhdojnë të mbeten çështje shqetësuese për sa i përket lirisë së medias në vend. Praktikat e shmangies së taksave nga pronarët e mediave janë denoncuar nga organizatat e lirisë së medias.</w:t>
      </w: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Interneti</w:t>
      </w:r>
    </w:p>
    <w:p w:rsidR="00E24640" w:rsidRPr="00A00FF4" w:rsidRDefault="00E24640" w:rsidP="00E24640">
      <w:pPr>
        <w:spacing w:afterLines="160" w:after="384"/>
        <w:contextualSpacing/>
        <w:jc w:val="both"/>
        <w:rPr>
          <w:rFonts w:ascii="Times New Roman" w:eastAsia="Calibri" w:hAnsi="Times New Roman" w:cs="Times New Roman"/>
          <w:b/>
          <w:sz w:val="24"/>
          <w:szCs w:val="24"/>
          <w:u w:val="single"/>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Të dhënat tregojnë se janë rreth 800 media online që punojnë në të gjithë Shqipërinë, ku shumica e tyre janë jashtë vendit dhe një numër më i kufizuar janë regjistruar në Autoritetin e Komunikimeve Elektronike dhe Postare në domenin .al.</w:t>
      </w:r>
      <w:r w:rsidR="004D154D">
        <w:rPr>
          <w:rFonts w:ascii="Times New Roman" w:eastAsia="Calibri" w:hAnsi="Times New Roman" w:cs="Times New Roman"/>
          <w:sz w:val="24"/>
          <w:szCs w:val="24"/>
          <w:lang w:val="sq-AL"/>
        </w:rPr>
        <w:t xml:space="preserve"> </w:t>
      </w:r>
      <w:r w:rsidRPr="00A00FF4">
        <w:rPr>
          <w:rFonts w:ascii="Times New Roman" w:eastAsia="Calibri" w:hAnsi="Times New Roman" w:cs="Times New Roman"/>
          <w:sz w:val="24"/>
          <w:szCs w:val="24"/>
          <w:lang w:val="sq-AL"/>
        </w:rPr>
        <w:t xml:space="preserve">Rregulli i përgjithshëm i përmbahet filtrimit dhe bllokimit të përmbajtjeve në internet. </w:t>
      </w:r>
      <w:r w:rsidRPr="004D154D">
        <w:rPr>
          <w:rFonts w:ascii="Times New Roman" w:eastAsia="Calibri" w:hAnsi="Times New Roman" w:cs="Times New Roman"/>
          <w:b/>
          <w:i/>
          <w:sz w:val="24"/>
          <w:szCs w:val="24"/>
          <w:lang w:val="sq-AL"/>
        </w:rPr>
        <w:t xml:space="preserve">Megjithatë, organizatat e lirisë së mediave pohojnë se nuk ka dispozita ligjore për të zbatuar dhe mbrojtur neutralitetin e rrjetit. </w:t>
      </w:r>
      <w:r w:rsidRPr="00A00FF4">
        <w:rPr>
          <w:rFonts w:ascii="Times New Roman" w:eastAsia="Calibri" w:hAnsi="Times New Roman" w:cs="Times New Roman"/>
          <w:sz w:val="24"/>
          <w:szCs w:val="24"/>
          <w:lang w:val="sq-AL"/>
        </w:rPr>
        <w:t>Shqipëria ka nënshkruar Deklaratën për të Ardhmen e Internetit të datës 28 Prill 2021</w:t>
      </w:r>
      <w:r w:rsidRPr="00A00FF4">
        <w:rPr>
          <w:rFonts w:ascii="Times New Roman" w:eastAsia="Calibri" w:hAnsi="Times New Roman" w:cs="Times New Roman"/>
          <w:sz w:val="24"/>
          <w:szCs w:val="24"/>
          <w:vertAlign w:val="superscript"/>
          <w:lang w:val="sq-AL"/>
        </w:rPr>
        <w:footnoteReference w:id="1"/>
      </w:r>
      <w:r w:rsidRPr="00A00FF4">
        <w:rPr>
          <w:rFonts w:ascii="Times New Roman" w:eastAsia="Calibri" w:hAnsi="Times New Roman" w:cs="Times New Roman"/>
          <w:sz w:val="24"/>
          <w:szCs w:val="24"/>
          <w:lang w:val="sq-AL"/>
        </w:rPr>
        <w:t>. E nënshkruar nga më shumë se 60 partnerë ndërkombëtarë deri më sot, Deklarata përcakton vizionin dhe parimet e një Interneti të besueshëm.</w:t>
      </w:r>
      <w:r w:rsidR="004D154D">
        <w:rPr>
          <w:rFonts w:ascii="Times New Roman" w:eastAsia="Calibri" w:hAnsi="Times New Roman" w:cs="Times New Roman"/>
          <w:sz w:val="24"/>
          <w:szCs w:val="24"/>
          <w:lang w:val="sq-AL"/>
        </w:rPr>
        <w:t xml:space="preserve"> </w:t>
      </w:r>
      <w:r w:rsidRPr="004D154D">
        <w:rPr>
          <w:rFonts w:ascii="Times New Roman" w:eastAsia="Calibri" w:hAnsi="Times New Roman" w:cs="Times New Roman"/>
          <w:b/>
          <w:i/>
          <w:sz w:val="24"/>
          <w:szCs w:val="24"/>
          <w:lang w:val="sq-AL"/>
        </w:rPr>
        <w:t>Mediat dixhitale janë ende nën ndikimin e fortë të aktorëve politikë, bizneset dhe palët e treta për sa i përket financimit dhe përmbajtjes. Organizatat për lirinë e mediave kanë theksuar mungesën e rregullimit ligjor për garantimin e transparencës së reklamave online nga partitë politike dhe kandidatët gjatë fushatave zgjedhore.</w:t>
      </w: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4D154D">
        <w:rPr>
          <w:rFonts w:ascii="Times New Roman" w:eastAsia="Calibri" w:hAnsi="Times New Roman" w:cs="Times New Roman"/>
          <w:b/>
          <w:i/>
          <w:sz w:val="24"/>
          <w:szCs w:val="24"/>
          <w:lang w:val="sq-AL"/>
        </w:rPr>
        <w:t>Duhet të merret parasysh zhvillimi i një Strategjie për internet më të mirë për fëmijët, që synon, ndër të tjera, lehtësimin e një procesi të udhëhequr nga fëmijët, si dhe zbulimin dhe ndalimi i materialeve të abuzimit seksual të fëmijëve në internet.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Liria e shprehjes artistike</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Liria e shprehjes artistike garantohet gjerësisht. Në tremujorin e parë të vitit 2022, qeveria hoqi ndalimin e vendosur për aktivitetet artistike dhe kulturore për shkak të kufizimeve të COVID-19.</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Organizatat profesionale dhe kushtet e punës</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4D154D" w:rsidRDefault="00E24640" w:rsidP="00E24640">
      <w:pPr>
        <w:spacing w:afterLines="160" w:after="384"/>
        <w:contextualSpacing/>
        <w:jc w:val="both"/>
        <w:rPr>
          <w:rFonts w:ascii="Times New Roman" w:eastAsia="Calibri" w:hAnsi="Times New Roman" w:cs="Times New Roman"/>
          <w:b/>
          <w:i/>
          <w:sz w:val="24"/>
          <w:szCs w:val="24"/>
          <w:lang w:val="sq-AL"/>
        </w:rPr>
      </w:pPr>
      <w:r w:rsidRPr="004D154D">
        <w:rPr>
          <w:rFonts w:ascii="Times New Roman" w:eastAsia="Calibri" w:hAnsi="Times New Roman" w:cs="Times New Roman"/>
          <w:b/>
          <w:i/>
          <w:sz w:val="24"/>
          <w:szCs w:val="24"/>
          <w:lang w:val="sq-AL"/>
        </w:rPr>
        <w:t>Shoqatat profesionale të gazetarëve përballen me shumë vështirësi për sa i përket burimeve të kufizuara financiare, aftësive personale dhe aftësisë së përgjithshme për të ngritur një dialog të strukturuar me qeverinë në mbështetje të komunitetit të medias.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4D154D">
        <w:rPr>
          <w:rFonts w:ascii="Times New Roman" w:eastAsia="Calibri" w:hAnsi="Times New Roman" w:cs="Times New Roman"/>
          <w:b/>
          <w:i/>
          <w:sz w:val="24"/>
          <w:szCs w:val="24"/>
          <w:lang w:val="sq-AL"/>
        </w:rPr>
        <w:t>Mungesa e sigurisë së punës dhe kushtet e këqija të punës i</w:t>
      </w:r>
      <w:r w:rsidRPr="00A00FF4">
        <w:rPr>
          <w:rFonts w:ascii="Times New Roman" w:eastAsia="Calibri" w:hAnsi="Times New Roman" w:cs="Times New Roman"/>
          <w:sz w:val="24"/>
          <w:szCs w:val="24"/>
          <w:lang w:val="sq-AL"/>
        </w:rPr>
        <w:t xml:space="preserve"> kanë bërë gazetarët dhe punonjësit e medias të cenueshëm ndaj autocensurës dhe më pak elastik ndaj dezinformimit.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4D154D">
        <w:rPr>
          <w:rFonts w:ascii="Times New Roman" w:eastAsia="Calibri" w:hAnsi="Times New Roman" w:cs="Times New Roman"/>
          <w:b/>
          <w:i/>
          <w:sz w:val="24"/>
          <w:szCs w:val="24"/>
          <w:lang w:val="sq-AL"/>
        </w:rPr>
        <w:lastRenderedPageBreak/>
        <w:t>Mungesa e kontratave të detyrueshme të punës vazhdon të mbetet një çështje shqetësuese, veçanërisht në mediat lokale dhe ato online. Shumë punonjës të medias nuk kanë kontrata pune, ndërsa shumë gazetarë nuk i marrin rrogat në kohë ose pushohen nga puna pa respektuar procedurat e Kodit të Punës</w:t>
      </w:r>
      <w:r w:rsidRPr="00A00FF4">
        <w:rPr>
          <w:rFonts w:ascii="Times New Roman" w:eastAsia="Calibri" w:hAnsi="Times New Roman" w:cs="Times New Roman"/>
          <w:sz w:val="24"/>
          <w:szCs w:val="24"/>
          <w:lang w:val="sq-AL"/>
        </w:rPr>
        <w:t>. Sipas të dhënave të Sindikatës së Gazetarëve, një e katërta e punonjësve të medias punojnë pa kontratë. Raportohet se rreth 80% e gazetarëve paguhen me paga minimale dhe pothuajse 48% e pagave u vonuan nga 2 deri në 6 muaj.</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4D154D">
        <w:rPr>
          <w:rFonts w:ascii="Times New Roman" w:eastAsia="Calibri" w:hAnsi="Times New Roman" w:cs="Times New Roman"/>
          <w:b/>
          <w:sz w:val="24"/>
          <w:szCs w:val="24"/>
          <w:lang w:val="sq-AL"/>
        </w:rPr>
        <w:t>Aktivitetet vetërregulluese duhet të rriten</w:t>
      </w:r>
      <w:r w:rsidRPr="00A00FF4">
        <w:rPr>
          <w:rFonts w:ascii="Times New Roman" w:eastAsia="Calibri" w:hAnsi="Times New Roman" w:cs="Times New Roman"/>
          <w:sz w:val="24"/>
          <w:szCs w:val="24"/>
          <w:lang w:val="sq-AL"/>
        </w:rPr>
        <w:t>, veçanërisht nga Aleanca për Gazetarinë Etike, një grup që mbledh së bashku palët e interesuara, duke përfshirë ato online, të cilët zotohen se do të respektojnë Kodin e Etikës.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b/>
          <w:sz w:val="24"/>
          <w:szCs w:val="24"/>
          <w:lang w:val="sq-AL"/>
        </w:rPr>
        <w:t>Liria e tubimit dhe e organizimit</w:t>
      </w:r>
      <w:r w:rsidRPr="00A00FF4">
        <w:rPr>
          <w:rFonts w:ascii="Times New Roman" w:eastAsia="Calibri" w:hAnsi="Times New Roman" w:cs="Times New Roman"/>
          <w:sz w:val="24"/>
          <w:szCs w:val="24"/>
          <w:lang w:val="sq-AL"/>
        </w:rPr>
        <w:t xml:space="preserve"> është e garantuar me Kushtetutë. Organizatat e shoqërisë civile dhe </w:t>
      </w:r>
      <w:r w:rsidRPr="004D154D">
        <w:rPr>
          <w:rFonts w:ascii="Times New Roman" w:eastAsia="Calibri" w:hAnsi="Times New Roman" w:cs="Times New Roman"/>
          <w:b/>
          <w:i/>
          <w:sz w:val="24"/>
          <w:szCs w:val="24"/>
          <w:lang w:val="sq-AL"/>
        </w:rPr>
        <w:t>Avokati i Popullit shprehën shqetësimet e tyre për ndërhyrjet joproporcionale të forcave të policisë në Mars 2022 gjatë protestave civile kundër rritjes së çmimit të karburanteve dhe ushqimeve. Ndalimi dhe arrestimi i protestuesve u kritikua nga organizatat e të drejtave të njeriut, të cilat argumentuan se ato nuk u kryen në përputhje me ligjin Shqiptar dhe praktikat ndërkombëtare.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Çështjet e </w:t>
      </w:r>
      <w:r w:rsidRPr="00A00FF4">
        <w:rPr>
          <w:rFonts w:ascii="Times New Roman" w:eastAsia="Calibri" w:hAnsi="Times New Roman" w:cs="Times New Roman"/>
          <w:b/>
          <w:sz w:val="24"/>
          <w:szCs w:val="24"/>
          <w:lang w:val="sq-AL"/>
        </w:rPr>
        <w:t>punës dhe të drejtave të sindikatave</w:t>
      </w:r>
      <w:r w:rsidRPr="00A00FF4">
        <w:rPr>
          <w:rFonts w:ascii="Times New Roman" w:eastAsia="Calibri" w:hAnsi="Times New Roman" w:cs="Times New Roman"/>
          <w:sz w:val="24"/>
          <w:szCs w:val="24"/>
          <w:lang w:val="sq-AL"/>
        </w:rPr>
        <w:t xml:space="preserve"> trajtohen në Kapitullin 19 - Politika sociale dhe punësimi.</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8306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Sfidat mbeten në fushën e të </w:t>
      </w:r>
      <w:r w:rsidRPr="00A00FF4">
        <w:rPr>
          <w:rFonts w:ascii="Times New Roman" w:eastAsia="Calibri" w:hAnsi="Times New Roman" w:cs="Times New Roman"/>
          <w:b/>
          <w:sz w:val="24"/>
          <w:szCs w:val="24"/>
          <w:lang w:val="sq-AL"/>
        </w:rPr>
        <w:t>drejtës së pronës</w:t>
      </w:r>
      <w:r w:rsidRPr="00A00FF4">
        <w:rPr>
          <w:rFonts w:ascii="Times New Roman" w:eastAsia="Calibri" w:hAnsi="Times New Roman" w:cs="Times New Roman"/>
          <w:sz w:val="24"/>
          <w:szCs w:val="24"/>
          <w:lang w:val="sq-AL"/>
        </w:rPr>
        <w:t xml:space="preserve">. </w:t>
      </w:r>
      <w:r w:rsidRPr="00283065">
        <w:rPr>
          <w:rFonts w:ascii="Times New Roman" w:eastAsia="Calibri" w:hAnsi="Times New Roman" w:cs="Times New Roman"/>
          <w:b/>
          <w:sz w:val="24"/>
          <w:szCs w:val="24"/>
          <w:lang w:val="sq-AL"/>
        </w:rPr>
        <w:t xml:space="preserve">Duhen përpjekje të mëtejshme për të finalizuar proceset kalimtare të pronësisë dhe regjistrimin e akteve të pronësisë, si dhe kthimin dhe kompensimin e pronave të shpronësuara padrejtësisht gjatë epokës komuniste. </w:t>
      </w:r>
      <w:r w:rsidRPr="00283065">
        <w:rPr>
          <w:rFonts w:ascii="Times New Roman" w:eastAsia="Calibri" w:hAnsi="Times New Roman" w:cs="Times New Roman"/>
          <w:b/>
          <w:color w:val="FF0000"/>
          <w:sz w:val="24"/>
          <w:szCs w:val="24"/>
          <w:u w:val="single"/>
          <w:lang w:val="sq-AL"/>
        </w:rPr>
        <w:t>Vlerësohet se afërsisht 80% e të dhënave për pronat e regjistruara janë të pasakta dhe pothuajse 10% e territorit të vendit mbetet e paregjistruar</w:t>
      </w:r>
      <w:r w:rsidRPr="00283065">
        <w:rPr>
          <w:rFonts w:ascii="Times New Roman" w:eastAsia="Calibri" w:hAnsi="Times New Roman" w:cs="Times New Roman"/>
          <w:color w:val="FF0000"/>
          <w:sz w:val="24"/>
          <w:szCs w:val="24"/>
          <w:u w:val="single"/>
          <w:lang w:val="sq-AL"/>
        </w:rPr>
        <w:t>.</w:t>
      </w:r>
      <w:r w:rsidRPr="00283065">
        <w:rPr>
          <w:rFonts w:ascii="Times New Roman" w:eastAsia="Calibri" w:hAnsi="Times New Roman" w:cs="Times New Roman"/>
          <w:color w:val="FF0000"/>
          <w:sz w:val="24"/>
          <w:szCs w:val="24"/>
          <w:lang w:val="sq-AL"/>
        </w:rPr>
        <w:t xml:space="preserve"> </w:t>
      </w:r>
      <w:r w:rsidRPr="00283065">
        <w:rPr>
          <w:rFonts w:ascii="Times New Roman" w:eastAsia="Calibri" w:hAnsi="Times New Roman" w:cs="Times New Roman"/>
          <w:b/>
          <w:i/>
          <w:sz w:val="24"/>
          <w:szCs w:val="24"/>
          <w:lang w:val="sq-AL"/>
        </w:rPr>
        <w:t>Duhet të krijohet një sistem efikas dhe transparent i regjistrimit të pronës dhe i menaxhimit të integruar të tokës, i cili ofron tituj të qartë dhe të sigurt pronësie për të siguruar të drejtën e pronës në praktikë.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83065" w:rsidRDefault="00E24640" w:rsidP="00E24640">
      <w:pPr>
        <w:spacing w:afterLines="160" w:after="384"/>
        <w:contextualSpacing/>
        <w:jc w:val="both"/>
        <w:rPr>
          <w:rFonts w:ascii="Times New Roman" w:eastAsia="Calibri" w:hAnsi="Times New Roman" w:cs="Times New Roman"/>
          <w:b/>
          <w:i/>
          <w:sz w:val="24"/>
          <w:szCs w:val="24"/>
          <w:lang w:val="sq-AL"/>
        </w:rPr>
      </w:pPr>
      <w:r w:rsidRPr="00283065">
        <w:rPr>
          <w:rFonts w:ascii="Times New Roman" w:eastAsia="Calibri" w:hAnsi="Times New Roman" w:cs="Times New Roman"/>
          <w:b/>
          <w:i/>
          <w:sz w:val="24"/>
          <w:szCs w:val="24"/>
          <w:lang w:val="sq-AL"/>
        </w:rPr>
        <w:t>Mungojnë ende disa akte të zbatimit të legjislacionit të parashikuar nga ligji për kadastrën dhe ligji për proceset e pronësisë kalimtare. Këto duhet të finalizohen dhe të miratohen si çështje prioritare.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8306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Ka pasur disa përparime sa i përket procesit të regjistrimit dhe digjitalizimit në kadastër. Deri më 10 Qershor 2022, regjistrimi i parë ishte përfunduar në 2 758 zona kadastrale, krahasuar me 2 717 të raportuara vitin e kaluar dhe aktualisht janë 12 zona ku procesi është në vazhdim. Ka pasur progres në dixhitalizimin e dosjeve të pronave nëpërmjet skanimit dhe ngarkimit të kartelave. Mbi 1.9 milion dosje janë tani të dixhitalizuar, megjithëse 2.3 milion dosje presin dixhitalizimin. Për rreth 300 zona kadastrale mungon regjistrimi i parë, duke përfshirë rreth 300 000 prona. </w:t>
      </w:r>
      <w:r w:rsidRPr="00283065">
        <w:rPr>
          <w:rFonts w:ascii="Times New Roman" w:eastAsia="Calibri" w:hAnsi="Times New Roman" w:cs="Times New Roman"/>
          <w:b/>
          <w:i/>
          <w:sz w:val="24"/>
          <w:szCs w:val="24"/>
          <w:lang w:val="sq-AL"/>
        </w:rPr>
        <w:t>Duhen përpjekje të mëtejshme për të përfunduar regjistrimin e parë duke përfshirë edhe shpërndarjen e burimeve të nevojshme.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83065" w:rsidRDefault="00E24640" w:rsidP="00E24640">
      <w:pPr>
        <w:spacing w:afterLines="160" w:after="384"/>
        <w:contextualSpacing/>
        <w:jc w:val="both"/>
        <w:rPr>
          <w:rFonts w:ascii="Times New Roman" w:eastAsia="Calibri" w:hAnsi="Times New Roman" w:cs="Times New Roman"/>
          <w:b/>
          <w:i/>
          <w:sz w:val="24"/>
          <w:szCs w:val="24"/>
          <w:lang w:val="sq-AL"/>
        </w:rPr>
      </w:pPr>
      <w:r w:rsidRPr="00283065">
        <w:rPr>
          <w:rFonts w:ascii="Times New Roman" w:eastAsia="Calibri" w:hAnsi="Times New Roman" w:cs="Times New Roman"/>
          <w:b/>
          <w:i/>
          <w:color w:val="FF0000"/>
          <w:sz w:val="24"/>
          <w:szCs w:val="24"/>
          <w:lang w:val="sq-AL"/>
        </w:rPr>
        <w:lastRenderedPageBreak/>
        <w:t xml:space="preserve">Akuza të rënda për korrupsion qarkullojnë për një numër të lartë punonjësish në Agjencinë Shtetërore të Kadastrës (ASHK), përfshirë edhe poste drejtuese, të cilat duket se mbështeten nga arrestimet e SPAK. </w:t>
      </w:r>
      <w:r w:rsidRPr="00283065">
        <w:rPr>
          <w:rFonts w:ascii="Times New Roman" w:eastAsia="Calibri" w:hAnsi="Times New Roman" w:cs="Times New Roman"/>
          <w:b/>
          <w:i/>
          <w:sz w:val="24"/>
          <w:szCs w:val="24"/>
          <w:lang w:val="sq-AL"/>
        </w:rPr>
        <w:t>Sektori i pronave është identifikuar nga Drejtoria e Përgjithshme Kundër Korrupsionit si një nga më të ekspozuarit ndaj korrupsionit. ASHK duhet të kryejë urgjentisht një vlerësim të rrezikut dhe të miratojë një plan veprimi pasues për të adresuar korrupsionin dhe parregullsitë e tjera që lidhen me regjistrimin e pronës. Transparenca e ASHK-së duhet të përmirësohet më tej, duke përfshirë publikimin e raporteve vjetore mbi aktivitetet e saj.</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8306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vitin 2021, Agjencia e Trajtimit të Pronës (ATP) ka ekzekutuar 6 vendime që i korrespondojnë një vlere prej gati 2.4 milionë euro. Që nga Shkurti i vitit 2021 nuk është dhënë asnjë vendim për të drejtën e dëmshpërblimit dhe është pezulluar ekzekutimi i vendimeve të formës së prerë, për shkak të rishikimit të ligjit për procesin e kompensimit nga Gjykata Kushtetuese. Mandati i skaduar i ATP-së la pak më pak se 7 000 kërkesa për njohje pronësie për t'u trajtuar nga gjykatat. Deri më sot janë ekzekutuar më pak se 800 vendime me vlerësim financiar, me dëmshpërblim total të dhënë që korrespondon me 65 milionë euro. </w:t>
      </w:r>
      <w:r w:rsidRPr="00283065">
        <w:rPr>
          <w:rFonts w:ascii="Times New Roman" w:eastAsia="Calibri" w:hAnsi="Times New Roman" w:cs="Times New Roman"/>
          <w:b/>
          <w:i/>
          <w:sz w:val="24"/>
          <w:szCs w:val="24"/>
          <w:lang w:val="sq-AL"/>
        </w:rPr>
        <w:t>Edhe me skemën e kompensimit të përshtatur me standardet e vendosura nga GJEDNJ dhe Gjykata Kushtetuese, duhen marrë masa shtesë për të siguruar zbatimin efektiv të ligjit aktual, duke përfshirë rishikimin e fondeve të kompensimit dhe një rregullim të qartë të përdorimit të formave alternative të kompensim.</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Ndryshimet ligjore në vitin 2018 siguruan regjistrimin e pasurisë së përbashkët martesore. Megjithatë, të dhënat tregojnë se burrat posedojnë dhe administrojnë pronë në një masë shumë më të madhe se gratë, </w:t>
      </w:r>
      <w:r w:rsidRPr="00283065">
        <w:rPr>
          <w:rFonts w:ascii="Times New Roman" w:eastAsia="Calibri" w:hAnsi="Times New Roman" w:cs="Times New Roman"/>
          <w:b/>
          <w:i/>
          <w:sz w:val="24"/>
          <w:szCs w:val="24"/>
          <w:lang w:val="sq-AL"/>
        </w:rPr>
        <w:t>dhe grave ende u mungon informacioni bazë për të drejtat e tyre pronësore</w:t>
      </w:r>
      <w:r w:rsidRPr="00A00FF4">
        <w:rPr>
          <w:rFonts w:ascii="Times New Roman" w:eastAsia="Calibri" w:hAnsi="Times New Roman" w:cs="Times New Roman"/>
          <w:sz w:val="24"/>
          <w:szCs w:val="24"/>
          <w:lang w:val="sq-AL"/>
        </w:rPr>
        <w:t xml:space="preserve">. Të dhënat e raportuara nga Avokati i Popullit tregojnë një numër të lartë të ankesave nga pjesëtarët </w:t>
      </w:r>
      <w:r w:rsidRPr="00283065">
        <w:rPr>
          <w:rFonts w:ascii="Times New Roman" w:eastAsia="Calibri" w:hAnsi="Times New Roman" w:cs="Times New Roman"/>
          <w:b/>
          <w:i/>
          <w:sz w:val="24"/>
          <w:szCs w:val="24"/>
          <w:lang w:val="sq-AL"/>
        </w:rPr>
        <w:t>e komunitetit rom dhe egjiptian për shkelje të të drejtave pronësore</w:t>
      </w:r>
      <w:r w:rsidRPr="00A00FF4">
        <w:rPr>
          <w:rFonts w:ascii="Times New Roman" w:eastAsia="Calibri" w:hAnsi="Times New Roman" w:cs="Times New Roman"/>
          <w:sz w:val="24"/>
          <w:szCs w:val="24"/>
          <w:lang w:val="sq-AL"/>
        </w:rPr>
        <w: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Sa i përket </w:t>
      </w:r>
      <w:r w:rsidRPr="00A00FF4">
        <w:rPr>
          <w:rFonts w:ascii="Times New Roman" w:eastAsia="Calibri" w:hAnsi="Times New Roman" w:cs="Times New Roman"/>
          <w:b/>
          <w:sz w:val="24"/>
          <w:szCs w:val="24"/>
          <w:lang w:val="sq-AL"/>
        </w:rPr>
        <w:t>mosdiskriminimit</w:t>
      </w:r>
      <w:r w:rsidRPr="00A00FF4">
        <w:rPr>
          <w:rFonts w:ascii="Times New Roman" w:eastAsia="Calibri" w:hAnsi="Times New Roman" w:cs="Times New Roman"/>
          <w:sz w:val="24"/>
          <w:szCs w:val="24"/>
          <w:lang w:val="sq-AL"/>
        </w:rPr>
        <w:t xml:space="preserve">, kuadri ligjor dhe i politikave në përgjithësi është në përputhje me standardet e BE-së. Zbatimi i tij duhet të forcohet më tej, duke përfshirë ofrimin e trajnimeve të specializuara për gjyqtarët dhe prokurorët. Në vitin 2021, Komisioneri për Mbrojtjen nga Diskriminimi (KMD) vazhdoi të trajtojë një numër të qëndrueshëm të rasteve të diskriminimit të pretenduar, kryesisht në fushën e punësimit dhe shërbimeve. Ligjet për gjuhën e urrejtjes janë në përputhje me standardet ndërkombëtare. </w:t>
      </w:r>
      <w:r w:rsidRPr="00005C5E">
        <w:rPr>
          <w:rFonts w:ascii="Times New Roman" w:eastAsia="Calibri" w:hAnsi="Times New Roman" w:cs="Times New Roman"/>
          <w:b/>
          <w:i/>
          <w:sz w:val="24"/>
          <w:szCs w:val="24"/>
          <w:lang w:val="sq-AL"/>
        </w:rPr>
        <w:t>Nevojitet zbatim më i mirë dhe ndërgjegjësim më i madh për të eliminuar gjuhën e urrejtjes, veçanërisht në zonat rurale dhe të largëta. Në</w:t>
      </w:r>
      <w:r w:rsidRPr="00A00FF4">
        <w:rPr>
          <w:rFonts w:ascii="Times New Roman" w:eastAsia="Calibri" w:hAnsi="Times New Roman" w:cs="Times New Roman"/>
          <w:sz w:val="24"/>
          <w:szCs w:val="24"/>
          <w:lang w:val="sq-AL"/>
        </w:rPr>
        <w:t xml:space="preserve"> vitin 2021, KMD-ja trajtoi shtatë raste në lidhje me përdorimin e gjuhës së urrejtjes, përfshirë këtu për shkak të racës, gjinisë ose orientimit seksual. </w:t>
      </w:r>
      <w:r w:rsidRPr="00005C5E">
        <w:rPr>
          <w:rFonts w:ascii="Times New Roman" w:eastAsia="Calibri" w:hAnsi="Times New Roman" w:cs="Times New Roman"/>
          <w:b/>
          <w:i/>
          <w:sz w:val="24"/>
          <w:szCs w:val="24"/>
          <w:lang w:val="sq-AL"/>
        </w:rPr>
        <w:t>Në lidhje me krimin e urrejtjes, është bërë njëfarë progresi në ndërtimin e kapaciteteve të agjencive të zbatimit të ligjit për t'iu përgjigjur këtij fenomeni. Megjithatë, nevojitet ende ndërgjegjësimi dhe ngritja e kapaciteteve ndërmjet zyrtarëve të drejtësisë penale për krimet e urrejtjes</w:t>
      </w:r>
      <w:r w:rsidRPr="00A00FF4">
        <w:rPr>
          <w:rFonts w:ascii="Times New Roman" w:eastAsia="Calibri" w:hAnsi="Times New Roman" w:cs="Times New Roman"/>
          <w:sz w:val="24"/>
          <w:szCs w:val="24"/>
          <w:lang w:val="sq-AL"/>
        </w:rPr>
        <w:t>. Për më tepër, rekomandimet e ODIHR-it për mbledhjen e të dhënave dhe statistikave për krimet e urrejtjes ende nuk janë zbatuar plotësisht. Tetë raste të krimeve të urrejtjes u raportuan në polici.</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lastRenderedPageBreak/>
        <w:t xml:space="preserve">Strategjia kombëtare 2021-2030 për </w:t>
      </w:r>
      <w:r w:rsidRPr="00A00FF4">
        <w:rPr>
          <w:rFonts w:ascii="Times New Roman" w:eastAsia="Calibri" w:hAnsi="Times New Roman" w:cs="Times New Roman"/>
          <w:b/>
          <w:sz w:val="24"/>
          <w:szCs w:val="24"/>
          <w:lang w:val="sq-AL"/>
        </w:rPr>
        <w:t>Barazinë Gjinore</w:t>
      </w:r>
      <w:r w:rsidRPr="00A00FF4">
        <w:rPr>
          <w:rFonts w:ascii="Times New Roman" w:eastAsia="Calibri" w:hAnsi="Times New Roman" w:cs="Times New Roman"/>
          <w:sz w:val="24"/>
          <w:szCs w:val="24"/>
          <w:lang w:val="sq-AL"/>
        </w:rPr>
        <w:t xml:space="preserve"> dhe plani i saj i veprimit janë të harmonizuara mirë me Planin të Veprimit Gjinor të BE-së III</w:t>
      </w:r>
      <w:r w:rsidRPr="00A00FF4">
        <w:rPr>
          <w:rFonts w:ascii="Times New Roman" w:eastAsia="Calibri" w:hAnsi="Times New Roman" w:cs="Times New Roman"/>
          <w:sz w:val="24"/>
          <w:szCs w:val="24"/>
          <w:vertAlign w:val="superscript"/>
          <w:lang w:val="sq-AL"/>
        </w:rPr>
        <w:footnoteReference w:id="2"/>
      </w:r>
      <w:r w:rsidRPr="00A00FF4">
        <w:rPr>
          <w:rFonts w:ascii="Times New Roman" w:eastAsia="Calibri" w:hAnsi="Times New Roman" w:cs="Times New Roman"/>
          <w:sz w:val="24"/>
          <w:szCs w:val="24"/>
          <w:lang w:val="sq-AL"/>
        </w:rPr>
        <w:t>. Strategjia është pranuar në adresimin e të drejtave të të gjitha grave dhe burrave, duke u fokusuar te njerëzit që përballen me forma të ndërthurura të diskriminimit dhe cenueshmërisë, të rinjtë dhe reformat sociale dhe ka prezantuar një seksion të dedikuar për emergjencat humanitare.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583634"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Shqipëria vazhdon përpjekjet e saj për të siguruar financimin e duhur shtetëror për zbatimin efektiv të strategjisë së re në nivel qendror dhe vendor. Të gjitha aktivitetet janë llogaritur dhe hendeku i përgjithshëm i financimit është reduktuar ndjeshëm. </w:t>
      </w:r>
      <w:r w:rsidRPr="00583634">
        <w:rPr>
          <w:rFonts w:ascii="Times New Roman" w:eastAsia="Calibri" w:hAnsi="Times New Roman" w:cs="Times New Roman"/>
          <w:b/>
          <w:i/>
          <w:sz w:val="24"/>
          <w:szCs w:val="24"/>
          <w:lang w:val="sq-AL"/>
        </w:rPr>
        <w:t>Nevojiten përpjekje për të siguruar që të gjitha strategjitë kombëtare të zbatuara në nivel qendror dhe lokal të jenë të integruara nga ana gjinore dhe të aplikojnë buxheti</w:t>
      </w:r>
      <w:r w:rsidR="00583634">
        <w:rPr>
          <w:rFonts w:ascii="Times New Roman" w:eastAsia="Calibri" w:hAnsi="Times New Roman" w:cs="Times New Roman"/>
          <w:b/>
          <w:i/>
          <w:sz w:val="24"/>
          <w:szCs w:val="24"/>
          <w:lang w:val="sq-AL"/>
        </w:rPr>
        <w:t xml:space="preserve">m të përgjegjshëm ndaj gjinisë. </w:t>
      </w:r>
      <w:r w:rsidRPr="00A00FF4">
        <w:rPr>
          <w:rFonts w:ascii="Times New Roman" w:eastAsia="Calibri" w:hAnsi="Times New Roman" w:cs="Times New Roman"/>
          <w:sz w:val="24"/>
          <w:szCs w:val="24"/>
          <w:lang w:val="sq-AL"/>
        </w:rPr>
        <w:t xml:space="preserve">Dispozitat për mekanizmat e referimit ndërmjet niveleve të ndryshme të kujdesit, trajnimet për ofruesit e kujdesit shëndetësor, shërbimet miqësore për të rinjtë dhe kontakti me grupet vulnerabël </w:t>
      </w:r>
      <w:r w:rsidRPr="00583634">
        <w:rPr>
          <w:rFonts w:ascii="Times New Roman" w:eastAsia="Calibri" w:hAnsi="Times New Roman" w:cs="Times New Roman"/>
          <w:b/>
          <w:sz w:val="24"/>
          <w:szCs w:val="24"/>
          <w:lang w:val="sq-AL"/>
        </w:rPr>
        <w:t xml:space="preserve">mbeten të pa adresuara në ligjin për shëndetin riprodhues. </w:t>
      </w:r>
      <w:r w:rsidRPr="00A00FF4">
        <w:rPr>
          <w:rFonts w:ascii="Times New Roman" w:eastAsia="Calibri" w:hAnsi="Times New Roman" w:cs="Times New Roman"/>
          <w:sz w:val="24"/>
          <w:szCs w:val="24"/>
          <w:lang w:val="sq-AL"/>
        </w:rPr>
        <w:t xml:space="preserve">Ministria e Shëndetësisë dhe Mbrojtjes Sociale ka bërë përpjekje për të monitoruar dhe ofruar trajnime për personelin shëndetësor për identifikimin dhe adresimin e çështjes së abortit selektiv me bazë gjinore. </w:t>
      </w:r>
      <w:r w:rsidRPr="00583634">
        <w:rPr>
          <w:rFonts w:ascii="Times New Roman" w:eastAsia="Calibri" w:hAnsi="Times New Roman" w:cs="Times New Roman"/>
          <w:b/>
          <w:i/>
          <w:sz w:val="24"/>
          <w:szCs w:val="24"/>
          <w:lang w:val="sq-AL"/>
        </w:rPr>
        <w:t>Megjithatë, përpjekjet duhet të vazhdojnë për të siguruar monitorimin e praktikës. Gratë që jetojnë në zonat rurale dhe të largëta, gratë rome dhe egjiptiane, por edhe individët LGBTIQ, përballen me akses të kufizuar në kujdesin shëndetësor parësor dhe në shërbimet e kujdesit shëndetësor seksual dhe riprodhues.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Për dhunën me bazë gjinore, në Shkurt 2022, Shqipëria ratifikoi Konventën e Organizatës Ndërkombëtare të Punës për Dhunën dhe Ngacmimin në botën e punës (Konventa nr. 190). Megjithatë, kuadri ligjor kombëtar duhet të harmonizohet më tej me dispozitat e tij për të siguruar zbatimin e plotë. </w:t>
      </w:r>
      <w:r w:rsidRPr="00583634">
        <w:rPr>
          <w:rFonts w:ascii="Times New Roman" w:eastAsia="Calibri" w:hAnsi="Times New Roman" w:cs="Times New Roman"/>
          <w:b/>
          <w:i/>
          <w:sz w:val="24"/>
          <w:szCs w:val="24"/>
          <w:lang w:val="sq-AL"/>
        </w:rPr>
        <w:t>Kuadri ligjor aktual nuk përputhet plotësisht me standardet kryesore ndërkombëtare, duke përfshirë Konventën e Stambollit, dhe i mungon fokusi në riintegrimin dhe aksesin në shërbime për viktimat dhe të mbijetuarit e dhunës.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Në vitin 2021, policia evidentoi dhe trajtoi 5 312 raste të dhunës dhe krimeve të tjera të kryera në marrëdhëniet familjare, një rritje prej 13% krahasuar me vitin 2020. Ndër to, 3 266 raste të dhunës në familje janë trajtuar me kërkesë për urdhër mbrojtje dhe 1 630 raste janë referuar në prokurori. Në të dyja rastet, u regjistrua një rritje e lehtë ndaj shifrave të vitit 2020. 638 autorë të dhunës në familje u arrestuan dhe 123 u ndaluan. </w:t>
      </w:r>
      <w:r w:rsidRPr="00583634">
        <w:rPr>
          <w:rFonts w:ascii="Times New Roman" w:eastAsia="Calibri" w:hAnsi="Times New Roman" w:cs="Times New Roman"/>
          <w:b/>
          <w:i/>
          <w:sz w:val="24"/>
          <w:szCs w:val="24"/>
          <w:lang w:val="sq-AL"/>
        </w:rPr>
        <w:t>Dhuna në familje u rrit gjatë periudhës së izolimit.</w:t>
      </w:r>
      <w:r w:rsidRPr="00A00FF4">
        <w:rPr>
          <w:rFonts w:ascii="Times New Roman" w:eastAsia="Calibri" w:hAnsi="Times New Roman" w:cs="Times New Roman"/>
          <w:sz w:val="24"/>
          <w:szCs w:val="24"/>
          <w:lang w:val="sq-AL"/>
        </w:rPr>
        <w:t xml:space="preserve"> Tetëmbëdhjetë gra dhe vajza u vranë brenda marrëdhënieve familjare në vitin 2021, krahasuar me gjashtëmujorin në vitin e kaluar. </w:t>
      </w:r>
      <w:r w:rsidRPr="00583634">
        <w:rPr>
          <w:rFonts w:ascii="Times New Roman" w:eastAsia="Calibri" w:hAnsi="Times New Roman" w:cs="Times New Roman"/>
          <w:b/>
          <w:i/>
          <w:sz w:val="24"/>
          <w:szCs w:val="24"/>
          <w:lang w:val="sq-AL"/>
        </w:rPr>
        <w:t>Duhen bërë më shumë përpjekje për ta ndryshuar këtë trend, duke përfshirë zbatimin më të mirë të ligjit, mesazhet institucionale për t'i dhënë fund dhunës ndaj grave dhe duke rritur ndërgjegjësimin e grave për të drejtat e tyre dhe shërbimet e disponueshme</w:t>
      </w:r>
      <w:r w:rsidRPr="00A00FF4">
        <w:rPr>
          <w:rFonts w:ascii="Times New Roman" w:eastAsia="Calibri" w:hAnsi="Times New Roman" w:cs="Times New Roman"/>
          <w:sz w:val="24"/>
          <w:szCs w:val="24"/>
          <w:lang w:val="sq-AL"/>
        </w:rPr>
        <w:t>. Aktualisht, ekzistojnë mekanizma referimi vendor për raportimin e dhunës me bazë gjinore në të 61 komunat. Megjithatë, këto mekanizma, dhe programe rehabilitimi dhe integrimi për gratë vulnerabël, duhet të përforcohen.</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A3AB4"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lastRenderedPageBreak/>
        <w:t xml:space="preserve">Kuadri ligjor që rregullon të </w:t>
      </w:r>
      <w:r w:rsidRPr="00A00FF4">
        <w:rPr>
          <w:rFonts w:ascii="Times New Roman" w:eastAsia="Calibri" w:hAnsi="Times New Roman" w:cs="Times New Roman"/>
          <w:b/>
          <w:sz w:val="24"/>
          <w:szCs w:val="24"/>
          <w:lang w:val="sq-AL"/>
        </w:rPr>
        <w:t>drejtat e fëmijës</w:t>
      </w:r>
      <w:r w:rsidRPr="00A00FF4">
        <w:rPr>
          <w:rFonts w:ascii="Times New Roman" w:eastAsia="Calibri" w:hAnsi="Times New Roman" w:cs="Times New Roman"/>
          <w:sz w:val="24"/>
          <w:szCs w:val="24"/>
          <w:lang w:val="sq-AL"/>
        </w:rPr>
        <w:t xml:space="preserve"> është i vendosur dhe është bërë njëfarë progresi në ngritjen e kapaciteteve institucionale për zbatimin efektiv të tij. </w:t>
      </w:r>
      <w:r w:rsidRPr="002A3AB4">
        <w:rPr>
          <w:rFonts w:ascii="Times New Roman" w:eastAsia="Calibri" w:hAnsi="Times New Roman" w:cs="Times New Roman"/>
          <w:b/>
          <w:i/>
          <w:sz w:val="24"/>
          <w:szCs w:val="24"/>
          <w:lang w:val="sq-AL"/>
        </w:rPr>
        <w:t>Praktika e martesës së fëmijëve ende ekziston</w:t>
      </w:r>
      <w:r w:rsidRPr="00A00FF4">
        <w:rPr>
          <w:rFonts w:ascii="Times New Roman" w:eastAsia="Calibri" w:hAnsi="Times New Roman" w:cs="Times New Roman"/>
          <w:sz w:val="24"/>
          <w:szCs w:val="24"/>
          <w:lang w:val="sq-AL"/>
        </w:rPr>
        <w:t xml:space="preserve">, dhe është e nxitur kryesisht nga pabarazia gjinore, varfëria dhe përjashtimi social. Mungesa e të dhënave zyrtare nuk bën të mundur dhënien e një pasqyre të saktë të prevalencës së martesave të fëmijëve. </w:t>
      </w:r>
      <w:r w:rsidRPr="002A3AB4">
        <w:rPr>
          <w:rFonts w:ascii="Times New Roman" w:eastAsia="Calibri" w:hAnsi="Times New Roman" w:cs="Times New Roman"/>
          <w:b/>
          <w:i/>
          <w:sz w:val="24"/>
          <w:szCs w:val="24"/>
          <w:lang w:val="sq-AL"/>
        </w:rPr>
        <w:t>Ligjet për mbrojtjen e adoleshentëve nga martesat e fëmijëve janë joefektive ose zbatohen në mënyrë jokonsistente</w:t>
      </w:r>
      <w:r w:rsidRPr="00A00FF4">
        <w:rPr>
          <w:rFonts w:ascii="Times New Roman" w:eastAsia="Calibri" w:hAnsi="Times New Roman" w:cs="Times New Roman"/>
          <w:sz w:val="24"/>
          <w:szCs w:val="24"/>
          <w:lang w:val="sq-AL"/>
        </w:rPr>
        <w:t xml:space="preserve">. Megjithatë, gjatë gjithë vitit 2021, qeveria i dha prioritet adresimit të martesës së fëmijëve në kuadrin e saj të politikave kombëtare të buxhetuar për herë të parë dhe axhenda kombëtare 2021-2026 për të drejtat e fëmijës, e miratuar në vitin 2021, përmban objektiva dhe masa për të luftuar këtë praktikë të dëmshme. Plani kombëtar i deinstitucionalizimit u përfshi në programin e reformës ekonomike të Shqipërisë 2021-2023 me një paketë financiare për zhvillimin e shërbimeve alternative të kujdesit për fëmijët dhe mbylljen e institucioneve të kujdesit social. </w:t>
      </w:r>
      <w:r w:rsidRPr="002A3AB4">
        <w:rPr>
          <w:rFonts w:ascii="Times New Roman" w:eastAsia="Calibri" w:hAnsi="Times New Roman" w:cs="Times New Roman"/>
          <w:b/>
          <w:i/>
          <w:sz w:val="24"/>
          <w:szCs w:val="24"/>
          <w:lang w:val="sq-AL"/>
        </w:rPr>
        <w:t>Duhen përpjekje shtesë për të zbatuar dhe trajtuar më tej të gjitha shkeljet e të drejtave të fëmijëve.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2A3AB4" w:rsidRDefault="00E24640" w:rsidP="00E24640">
      <w:pPr>
        <w:spacing w:afterLines="160" w:after="384"/>
        <w:contextualSpacing/>
        <w:jc w:val="both"/>
        <w:rPr>
          <w:rFonts w:ascii="Times New Roman" w:eastAsia="Calibri" w:hAnsi="Times New Roman" w:cs="Times New Roman"/>
          <w:b/>
          <w:i/>
          <w:sz w:val="24"/>
          <w:szCs w:val="24"/>
          <w:lang w:val="sq-AL"/>
        </w:rPr>
      </w:pPr>
      <w:r w:rsidRPr="002A3AB4">
        <w:rPr>
          <w:rFonts w:ascii="Times New Roman" w:eastAsia="Calibri" w:hAnsi="Times New Roman" w:cs="Times New Roman"/>
          <w:b/>
          <w:i/>
          <w:sz w:val="24"/>
          <w:szCs w:val="24"/>
          <w:lang w:val="sq-AL"/>
        </w:rPr>
        <w:t>Dhuna dhe dhuna seksuale, përfshirë atë on-line, mbetet një shqetësim</w:t>
      </w:r>
      <w:r w:rsidRPr="00A00FF4">
        <w:rPr>
          <w:rFonts w:ascii="Times New Roman" w:eastAsia="Calibri" w:hAnsi="Times New Roman" w:cs="Times New Roman"/>
          <w:sz w:val="24"/>
          <w:szCs w:val="24"/>
          <w:lang w:val="sq-AL"/>
        </w:rPr>
        <w:t xml:space="preserve">. Në vitin 2021, Njësitë e Mbrojtjes së Fëmijëve menaxhuan 2 389 raste të fëmijëve në nevojë për mbrojtje. Pati një rritje të lehtë në numrin e punonjësve të mbrojtjes së fëmijëve (nga 223 në 241), por ky numër mbetet shumë nën numrin total të nevojshëm. </w:t>
      </w:r>
      <w:r w:rsidRPr="002A3AB4">
        <w:rPr>
          <w:rFonts w:ascii="Times New Roman" w:eastAsia="Calibri" w:hAnsi="Times New Roman" w:cs="Times New Roman"/>
          <w:b/>
          <w:i/>
          <w:sz w:val="24"/>
          <w:szCs w:val="24"/>
          <w:lang w:val="sq-AL"/>
        </w:rPr>
        <w:t>Duhet të miratohet një kuadër ligjor gjithëpërfshirës për statusin dhe përgjegjësitë e punonjësve socialë. Nevojiten përpjekje të mëtejshme për të siguruar një përgjigje adekuate dhe sistematike ndaj të gjitha llojeve të dhunës ndaj fëmijëve.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2A3AB4">
        <w:rPr>
          <w:rFonts w:ascii="Times New Roman" w:eastAsia="Calibri" w:hAnsi="Times New Roman" w:cs="Times New Roman"/>
          <w:b/>
          <w:i/>
          <w:sz w:val="24"/>
          <w:szCs w:val="24"/>
          <w:lang w:val="sq-AL"/>
        </w:rPr>
        <w:t>Për fëmijët në konflikt me ligjin, paraburgimi vazhdon të jetë arsyeja kryesore e heqjes së lirisë.</w:t>
      </w:r>
      <w:r w:rsidRPr="00A00FF4">
        <w:rPr>
          <w:rFonts w:ascii="Times New Roman" w:eastAsia="Calibri" w:hAnsi="Times New Roman" w:cs="Times New Roman"/>
          <w:sz w:val="24"/>
          <w:szCs w:val="24"/>
          <w:lang w:val="sq-AL"/>
        </w:rPr>
        <w:t xml:space="preserve"> Megjithatë, u arrit përparim me një rritje të përdorimit të </w:t>
      </w:r>
      <w:r w:rsidR="002A3AB4">
        <w:rPr>
          <w:rFonts w:ascii="Times New Roman" w:eastAsia="Calibri" w:hAnsi="Times New Roman" w:cs="Times New Roman"/>
          <w:sz w:val="24"/>
          <w:szCs w:val="24"/>
          <w:lang w:val="sq-AL"/>
        </w:rPr>
        <w:t>diversifikimit</w:t>
      </w:r>
      <w:r w:rsidRPr="00A00FF4">
        <w:rPr>
          <w:rFonts w:ascii="Times New Roman" w:eastAsia="Calibri" w:hAnsi="Times New Roman" w:cs="Times New Roman"/>
          <w:sz w:val="24"/>
          <w:szCs w:val="24"/>
          <w:lang w:val="sq-AL"/>
        </w:rPr>
        <w:t>. Policia e Shtetit Shqiptar ka krijuar njësi intervistash miqësore për fëmijët në 12 departamente. Përpjekjet po vazhdojnë për të trajnuar personelin e policisë në përdorimin e njësive të intervistimit miqësore për fëmijët në këto dymbëdhjetë departamente/stacione policore dhe në kryerjen e intervistave profesionale mjeko-ligjore miqësore për fëmijët. Në shkurt 2022 u rekrutua Drejtori i Qendrës për Parandalimin e Kriminalitetit të të Miturve. Me stafin tashmë plotësisht në funksion, qendra duhet të përparojë në kryerjen e mandatit të saj dhe të demonstrojë efektin e saj në situatën e fëmijëve në konflikt ose në kontakt me ligjin.</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EB668E" w:rsidRDefault="00E24640" w:rsidP="00E24640">
      <w:pPr>
        <w:spacing w:afterLines="160" w:after="384"/>
        <w:contextualSpacing/>
        <w:jc w:val="both"/>
        <w:rPr>
          <w:rFonts w:ascii="Times New Roman" w:eastAsia="Calibri" w:hAnsi="Times New Roman" w:cs="Times New Roman"/>
          <w:b/>
          <w:i/>
          <w:sz w:val="24"/>
          <w:szCs w:val="24"/>
          <w:lang w:val="sq-AL"/>
        </w:rPr>
      </w:pPr>
      <w:r w:rsidRPr="00EB668E">
        <w:rPr>
          <w:rFonts w:ascii="Times New Roman" w:eastAsia="Calibri" w:hAnsi="Times New Roman" w:cs="Times New Roman"/>
          <w:b/>
          <w:color w:val="FF0000"/>
          <w:sz w:val="24"/>
          <w:szCs w:val="24"/>
          <w:lang w:val="sq-AL"/>
        </w:rPr>
        <w:t>Nuk është bërë përparim në të drejtat e personave me aftësi të kufizuara</w:t>
      </w:r>
      <w:r w:rsidRPr="00A00FF4">
        <w:rPr>
          <w:rFonts w:ascii="Times New Roman" w:eastAsia="Calibri" w:hAnsi="Times New Roman" w:cs="Times New Roman"/>
          <w:b/>
          <w:sz w:val="24"/>
          <w:szCs w:val="24"/>
          <w:lang w:val="sq-AL"/>
        </w:rPr>
        <w:t>.</w:t>
      </w:r>
      <w:r w:rsidRPr="00A00FF4">
        <w:rPr>
          <w:rFonts w:ascii="Times New Roman" w:eastAsia="Calibri" w:hAnsi="Times New Roman" w:cs="Times New Roman"/>
          <w:sz w:val="24"/>
          <w:szCs w:val="24"/>
          <w:lang w:val="sq-AL"/>
        </w:rPr>
        <w:t xml:space="preserve"> Legjislacioni kuadër i Shqipërisë për të drejtat e personave me aftësi të kufizuara </w:t>
      </w:r>
      <w:r w:rsidRPr="00EB668E">
        <w:rPr>
          <w:rFonts w:ascii="Times New Roman" w:eastAsia="Calibri" w:hAnsi="Times New Roman" w:cs="Times New Roman"/>
          <w:b/>
          <w:i/>
          <w:sz w:val="24"/>
          <w:szCs w:val="24"/>
          <w:lang w:val="sq-AL"/>
        </w:rPr>
        <w:t>mbetet vetëm pjesërisht në përputhje</w:t>
      </w:r>
      <w:r w:rsidRPr="00A00FF4">
        <w:rPr>
          <w:rFonts w:ascii="Times New Roman" w:eastAsia="Calibri" w:hAnsi="Times New Roman" w:cs="Times New Roman"/>
          <w:sz w:val="24"/>
          <w:szCs w:val="24"/>
          <w:lang w:val="sq-AL"/>
        </w:rPr>
        <w:t xml:space="preserve"> me Konventën e OKB-së për të Drejtat e Personave me Aftësi të Kufizuara (UNCRPD) dhe boshllëqet duhet të adresohen. </w:t>
      </w:r>
      <w:r w:rsidRPr="00EB668E">
        <w:rPr>
          <w:rFonts w:ascii="Times New Roman" w:eastAsia="Calibri" w:hAnsi="Times New Roman" w:cs="Times New Roman"/>
          <w:b/>
          <w:i/>
          <w:sz w:val="24"/>
          <w:szCs w:val="24"/>
          <w:lang w:val="sq-AL"/>
        </w:rPr>
        <w:t>Shqipëria duhet ende të ratifikojë Protokollin Opsional të Konventës për të Drejtat e Personave me Aftësi të Kufizuara.</w:t>
      </w:r>
      <w:r w:rsidRPr="00A00FF4">
        <w:rPr>
          <w:rFonts w:ascii="Times New Roman" w:eastAsia="Calibri" w:hAnsi="Times New Roman" w:cs="Times New Roman"/>
          <w:sz w:val="24"/>
          <w:szCs w:val="24"/>
          <w:lang w:val="sq-AL"/>
        </w:rPr>
        <w:t xml:space="preserve"> Hendeku prej 40% në financimin për planin kombëtar të veprimit 2021-2025 për personat me aftësi të kufizuara </w:t>
      </w:r>
      <w:r w:rsidRPr="00EB668E">
        <w:rPr>
          <w:rFonts w:ascii="Times New Roman" w:eastAsia="Calibri" w:hAnsi="Times New Roman" w:cs="Times New Roman"/>
          <w:b/>
          <w:i/>
          <w:sz w:val="24"/>
          <w:szCs w:val="24"/>
          <w:lang w:val="sq-AL"/>
        </w:rPr>
        <w:t>mbetet për t'u trajtuar – pa të cilin ai nuk mund të zbatohet në mënyrë gjithëpërfshirëse</w:t>
      </w:r>
      <w:r w:rsidRPr="00A00FF4">
        <w:rPr>
          <w:rFonts w:ascii="Times New Roman" w:eastAsia="Calibri" w:hAnsi="Times New Roman" w:cs="Times New Roman"/>
          <w:sz w:val="24"/>
          <w:szCs w:val="24"/>
          <w:lang w:val="sq-AL"/>
        </w:rPr>
        <w:t xml:space="preserve">. </w:t>
      </w:r>
      <w:r w:rsidRPr="00EB668E">
        <w:rPr>
          <w:rFonts w:ascii="Times New Roman" w:eastAsia="Calibri" w:hAnsi="Times New Roman" w:cs="Times New Roman"/>
          <w:b/>
          <w:i/>
          <w:sz w:val="24"/>
          <w:szCs w:val="24"/>
          <w:lang w:val="sq-AL"/>
        </w:rPr>
        <w:t xml:space="preserve">Nevojiten përpjekje më të fuqishme për të trajtuar diskriminimin dhe dhunën ndaj personave me aftësi të kufizuara, për të përmirësuar aksesin e përgjithshëm, për të promovuar punësimin dhe për të mbledhur të dhëna statistikore për situatën e tyre. Të rriturit dhe fëmijët me aftësi të kufizuara vazhdojnë të vendosen në qendrat rezidenciale të kujdesit, në kundërshtim me të drejtat e tyre sipas UNCRPD. Cilësia e arsimit për fëmijët me aftësi të kufizuara, veçanërisht fëmijët me dëmtim të </w:t>
      </w:r>
      <w:r w:rsidRPr="00EB668E">
        <w:rPr>
          <w:rFonts w:ascii="Times New Roman" w:eastAsia="Calibri" w:hAnsi="Times New Roman" w:cs="Times New Roman"/>
          <w:b/>
          <w:i/>
          <w:sz w:val="24"/>
          <w:szCs w:val="24"/>
          <w:lang w:val="sq-AL"/>
        </w:rPr>
        <w:lastRenderedPageBreak/>
        <w:t>dëgjimit, vazhdoi të ngrejë shqetësim. Megjithëse shifrat u rritën në vitin 2021, mbetet një numër i pamjaftueshëm i asistentëve për fëmijët me aftësi të kufizuara në sistemin arsimor parauniversitar. Duhen përpjekje shtesë për të ofruar trajnime për qasjet e arsimit gjithëpërfshirës për të gjithë mësuesit dhe për zbulimin e hershëm të aftësisë së kufizuar.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D64AB6"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shoqërinë Shqiptare, diskriminimi ndaj personave </w:t>
      </w:r>
      <w:r w:rsidRPr="00A00FF4">
        <w:rPr>
          <w:rFonts w:ascii="Times New Roman" w:eastAsia="Calibri" w:hAnsi="Times New Roman" w:cs="Times New Roman"/>
          <w:b/>
          <w:sz w:val="24"/>
          <w:szCs w:val="24"/>
          <w:lang w:val="sq-AL"/>
        </w:rPr>
        <w:t>lezbike, homoseksualë,</w:t>
      </w:r>
      <w:r w:rsidR="00D64AB6">
        <w:rPr>
          <w:rFonts w:ascii="Times New Roman" w:eastAsia="Calibri" w:hAnsi="Times New Roman" w:cs="Times New Roman"/>
          <w:b/>
          <w:sz w:val="24"/>
          <w:szCs w:val="24"/>
          <w:lang w:val="sq-AL"/>
        </w:rPr>
        <w:t xml:space="preserve"> biseksualë, transgjinorë, nder</w:t>
      </w:r>
      <w:r w:rsidRPr="00A00FF4">
        <w:rPr>
          <w:rFonts w:ascii="Times New Roman" w:eastAsia="Calibri" w:hAnsi="Times New Roman" w:cs="Times New Roman"/>
          <w:b/>
          <w:sz w:val="24"/>
          <w:szCs w:val="24"/>
          <w:lang w:val="sq-AL"/>
        </w:rPr>
        <w:t xml:space="preserve">seksual (LGBTIQ) </w:t>
      </w:r>
      <w:r w:rsidRPr="00A00FF4">
        <w:rPr>
          <w:rFonts w:ascii="Times New Roman" w:eastAsia="Calibri" w:hAnsi="Times New Roman" w:cs="Times New Roman"/>
          <w:sz w:val="24"/>
          <w:szCs w:val="24"/>
          <w:lang w:val="sq-AL"/>
        </w:rPr>
        <w:t xml:space="preserve">është ende shumë i përhapur, veçanërisht përsa i përket aksesit në kujdesin shëndetësor, arsim, drejtësi, punësim dhe strehim. </w:t>
      </w:r>
      <w:r w:rsidRPr="00D64AB6">
        <w:rPr>
          <w:rFonts w:ascii="Times New Roman" w:eastAsia="Calibri" w:hAnsi="Times New Roman" w:cs="Times New Roman"/>
          <w:b/>
          <w:i/>
          <w:sz w:val="24"/>
          <w:szCs w:val="24"/>
          <w:lang w:val="sq-AL"/>
        </w:rPr>
        <w:t>Anëtarët e komunitetit LGBTIQ vazhdojnë të përjetojnë agresion fizik dhe gjuhë të urrejtjes, veçanërisht në mediat sociale. Shqipëria nuk ka legjislacion që njeh bashkëjetesën civile apo martesën e të njëjtit seks, gjë që do të kërkonte ndryshime në kodin e familjes.</w:t>
      </w:r>
    </w:p>
    <w:p w:rsidR="00E24640" w:rsidRPr="00D64AB6"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Nëntor 2021, u miratua plani i ri kombëtar i veprimit për personat LGBTIQ (2021-2027), bazuar në një proces konsultimi gjithëpërfshirës dhe pjesëmarrës. </w:t>
      </w:r>
      <w:r w:rsidRPr="00D64AB6">
        <w:rPr>
          <w:rFonts w:ascii="Times New Roman" w:eastAsia="Calibri" w:hAnsi="Times New Roman" w:cs="Times New Roman"/>
          <w:b/>
          <w:i/>
          <w:sz w:val="24"/>
          <w:szCs w:val="24"/>
          <w:lang w:val="sq-AL"/>
        </w:rPr>
        <w:t>Është thelbësore që plani të financohet në mënyrë adekuate dhe të demonstrohet vullneti politik për zbatimin e tij për të kompensuar mangësitë në zbatimin e planit të mëparshëm. Plani i ri i veprimit përfshin masa të ndryshme për të luftuar diskriminimin, për të përmirësuar aksesin në shërbime dhe për të miratuar kuadrin ligjor të njohjes gjinor</w:t>
      </w:r>
      <w:r w:rsidRPr="00A00FF4">
        <w:rPr>
          <w:rFonts w:ascii="Times New Roman" w:eastAsia="Calibri" w:hAnsi="Times New Roman" w:cs="Times New Roman"/>
          <w:sz w:val="24"/>
          <w:szCs w:val="24"/>
          <w:lang w:val="sq-AL"/>
        </w:rPr>
        <w:t xml:space="preserve">e. Në vitin 2021, oficerët e policisë, prokurorët dhe pikat e kontaktit për çështjet gjinore në ministritë e linjës vazhduan të marrin trajnime për parandalimin e diskriminimit në bazë të orientimit seksual dhe identitetit gjinor. Strehëza për personat LGBTIQ vazhdoi të ofrojë kujdes, mbështetje dhe mbrojtje për individët e pastrehë LGBTIQ. </w:t>
      </w:r>
      <w:r w:rsidRPr="00D64AB6">
        <w:rPr>
          <w:rFonts w:ascii="Times New Roman" w:eastAsia="Calibri" w:hAnsi="Times New Roman" w:cs="Times New Roman"/>
          <w:b/>
          <w:i/>
          <w:sz w:val="24"/>
          <w:szCs w:val="24"/>
          <w:lang w:val="sq-AL"/>
        </w:rPr>
        <w:t>Financimi shtetëror vazhdon të mbulojë vetëm 40% të buxhetit të strehës dhe fakti që ajo mbetet shumë e varur nga donatorët krijon pasiguri për vazhdimin e shërbimeve.</w:t>
      </w:r>
    </w:p>
    <w:p w:rsidR="00E24640" w:rsidRPr="00D64AB6" w:rsidRDefault="00E24640" w:rsidP="00E24640">
      <w:pPr>
        <w:spacing w:afterLines="160" w:after="384"/>
        <w:contextualSpacing/>
        <w:jc w:val="both"/>
        <w:rPr>
          <w:rFonts w:ascii="Times New Roman" w:eastAsia="Calibri" w:hAnsi="Times New Roman" w:cs="Times New Roman"/>
          <w:b/>
          <w:i/>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Ndër iniciativat e tjera, Tirana Pride u organizua për të dhjetën herë në 21 Maj, por ndërgjegjësimi dhe pranimi i publikut për personat LGBTIQ mbetet i ulët, veçanërisht në zonat rurale. </w:t>
      </w:r>
      <w:r w:rsidRPr="00D64AB6">
        <w:rPr>
          <w:rFonts w:ascii="Times New Roman" w:eastAsia="Calibri" w:hAnsi="Times New Roman" w:cs="Times New Roman"/>
          <w:b/>
          <w:i/>
          <w:sz w:val="24"/>
          <w:szCs w:val="24"/>
          <w:lang w:val="sq-AL"/>
        </w:rPr>
        <w:t>Problem mbetet gjuha e urrejtjes dhe gjuha diskriminuese në media, veçanërisht në internet, si dhe nga politikanët dhe veprat penale dhe diskriminimi ndaj anëtarëve të komunitetit trans.</w:t>
      </w:r>
      <w:r w:rsidRPr="00A00FF4">
        <w:rPr>
          <w:rFonts w:ascii="Times New Roman" w:eastAsia="Calibri" w:hAnsi="Times New Roman" w:cs="Times New Roman"/>
          <w:sz w:val="24"/>
          <w:szCs w:val="24"/>
          <w:lang w:val="sq-AL"/>
        </w:rPr>
        <w:t xml:space="preserve"> Në vitin 2021, KMD trajtoi katër raste të gjuhës së urrejtjes kundër komunitetit LGBTIQ. Sipas të dhënave të OSHC-ve, vetëm 7.1% e njerëzve në komunitetin LBGTIQ raportuan incidente diskriminimi, nga të cilat 5.8% u raportuan në polici. Nga numri i përgjithshëm i rasteve të referuara, vetëm 20.3% janë zgjidhur.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6B2F1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Për të </w:t>
      </w:r>
      <w:r w:rsidRPr="00A00FF4">
        <w:rPr>
          <w:rFonts w:ascii="Times New Roman" w:eastAsia="Calibri" w:hAnsi="Times New Roman" w:cs="Times New Roman"/>
          <w:b/>
          <w:sz w:val="24"/>
          <w:szCs w:val="24"/>
          <w:lang w:val="sq-AL"/>
        </w:rPr>
        <w:t>drejtat procedurale</w:t>
      </w:r>
      <w:r w:rsidRPr="00A00FF4">
        <w:rPr>
          <w:rFonts w:ascii="Times New Roman" w:eastAsia="Calibri" w:hAnsi="Times New Roman" w:cs="Times New Roman"/>
          <w:sz w:val="24"/>
          <w:szCs w:val="24"/>
          <w:lang w:val="sq-AL"/>
        </w:rPr>
        <w:t xml:space="preserve">, baza ligjore për ndihmën juridike falas është e plotë dhe po zbatohet. Ndihma juridike parësore dhe dytësore ofrohet në nivel qendror dhe lokal. Numri i personave që kanë përfituar ndihmë juridike falas është rritur ndjeshëm që nga miratimi i ligjit në vitin 2017. </w:t>
      </w:r>
      <w:r w:rsidRPr="00D64AB6">
        <w:rPr>
          <w:rFonts w:ascii="Times New Roman" w:eastAsia="Calibri" w:hAnsi="Times New Roman" w:cs="Times New Roman"/>
          <w:b/>
          <w:i/>
          <w:sz w:val="24"/>
          <w:szCs w:val="24"/>
          <w:lang w:val="sq-AL"/>
        </w:rPr>
        <w:t>Pavarësisht kuadrit ligjor për ndihmën juridike falas dhe formimit institucional për ta garantuar atë, vetëm pak fëmijë përfitojnë nga ndihma juridike në krahasim me numrin të fëmijëve të përfshirë në proceset e së drejtës penale, familjare dhe civile dhe të së drejtës administrative</w:t>
      </w:r>
      <w:r w:rsidRPr="00A00FF4">
        <w:rPr>
          <w:rFonts w:ascii="Times New Roman" w:eastAsia="Calibri" w:hAnsi="Times New Roman" w:cs="Times New Roman"/>
          <w:sz w:val="24"/>
          <w:szCs w:val="24"/>
          <w:lang w:val="sq-AL"/>
        </w:rPr>
        <w:t xml:space="preserve">. Buxheti i ndarë për ndihmë juridike në vitin 2021 arriti në 547 696 euro, me një rritje prej 31% kundrejt një viti më parë. Buxheti i zbatuar në vitin 2021 arriti në 245 739 euro (nga 140 488 euro në 2020). </w:t>
      </w:r>
      <w:r w:rsidRPr="00D64AB6">
        <w:rPr>
          <w:rFonts w:ascii="Times New Roman" w:eastAsia="Calibri" w:hAnsi="Times New Roman" w:cs="Times New Roman"/>
          <w:b/>
          <w:i/>
          <w:sz w:val="24"/>
          <w:szCs w:val="24"/>
          <w:lang w:val="sq-AL"/>
        </w:rPr>
        <w:t>Megjithatë, buxheti i dedikuar i shtetit duhet të rritet më tej për të funksionalizuar plotësisht qëndrat ligjore.</w:t>
      </w:r>
      <w:r w:rsidRPr="00A00FF4">
        <w:rPr>
          <w:rFonts w:ascii="Times New Roman" w:eastAsia="Calibri" w:hAnsi="Times New Roman" w:cs="Times New Roman"/>
          <w:sz w:val="24"/>
          <w:szCs w:val="24"/>
          <w:lang w:val="sq-AL"/>
        </w:rPr>
        <w:t xml:space="preserve"> Tashmë ka përfunduar plotësimi i personelit të drejtorisë së ndihmës juridike falas dhe 10 qendra janë në funksion në të gjithë vendin. </w:t>
      </w:r>
      <w:r w:rsidRPr="006D19B9">
        <w:rPr>
          <w:rFonts w:ascii="Times New Roman" w:eastAsia="Calibri" w:hAnsi="Times New Roman" w:cs="Times New Roman"/>
          <w:b/>
          <w:i/>
          <w:sz w:val="24"/>
          <w:szCs w:val="24"/>
          <w:lang w:val="sq-AL"/>
        </w:rPr>
        <w:t xml:space="preserve">Mbetet e </w:t>
      </w:r>
      <w:r w:rsidRPr="006D19B9">
        <w:rPr>
          <w:rFonts w:ascii="Times New Roman" w:eastAsia="Calibri" w:hAnsi="Times New Roman" w:cs="Times New Roman"/>
          <w:b/>
          <w:i/>
          <w:sz w:val="24"/>
          <w:szCs w:val="24"/>
          <w:lang w:val="sq-AL"/>
        </w:rPr>
        <w:lastRenderedPageBreak/>
        <w:t>rëndësishme të përmirësohet mbledhja dhe raportimi i të dhënave statistikore për ndihmën juridike falas. Përpjekjet për rritjen e ndërgjegjësimit duhet të vazhdojnë në të gjitha nivelet.</w:t>
      </w:r>
      <w:r w:rsidRPr="00A00FF4">
        <w:rPr>
          <w:rFonts w:ascii="Times New Roman" w:eastAsia="Calibri" w:hAnsi="Times New Roman" w:cs="Times New Roman"/>
          <w:sz w:val="24"/>
          <w:szCs w:val="24"/>
          <w:lang w:val="sq-AL"/>
        </w:rPr>
        <w:t xml:space="preserve"> Është bërë njëfarë progresi në standardet për intervistimin e fëmijëve në konflikt me ligjin. </w:t>
      </w:r>
      <w:r w:rsidRPr="006D19B9">
        <w:rPr>
          <w:rFonts w:ascii="Times New Roman" w:eastAsia="Calibri" w:hAnsi="Times New Roman" w:cs="Times New Roman"/>
          <w:b/>
          <w:i/>
          <w:sz w:val="24"/>
          <w:szCs w:val="24"/>
          <w:lang w:val="sq-AL"/>
        </w:rPr>
        <w:t>Është bërë përparim i kufizuar në të drejtat e tjera procedurale. Nuk ka pasur përparim në adresimin e çështjeve të mbetura në lidhje me të drejtat e tjera procedurale të të dyshuarve dhe të akuzuarve. Për sa i përket të drejtës për informim në procedimet penale, refuzimi ose mosdhënia e aksesit në dosjen e çështjes duhet t'i nënshtrohet shqyrtimit gjyqësor, me mjete juridike efektive</w:t>
      </w:r>
      <w:r w:rsidRPr="00A00FF4">
        <w:rPr>
          <w:rFonts w:ascii="Times New Roman" w:eastAsia="Calibri" w:hAnsi="Times New Roman" w:cs="Times New Roman"/>
          <w:sz w:val="24"/>
          <w:szCs w:val="24"/>
          <w:lang w:val="sq-AL"/>
        </w:rPr>
        <w:t xml:space="preserve">. </w:t>
      </w:r>
      <w:r w:rsidRPr="006B2F15">
        <w:rPr>
          <w:rFonts w:ascii="Times New Roman" w:eastAsia="Calibri" w:hAnsi="Times New Roman" w:cs="Times New Roman"/>
          <w:b/>
          <w:i/>
          <w:sz w:val="24"/>
          <w:szCs w:val="24"/>
          <w:lang w:val="sq-AL"/>
        </w:rPr>
        <w:t>Për aksesin tek një avokat, gjykatat, prokuroritë dhe policia duhet të garantojnë lehtësira të përshtatshme për konsultime konfidenciale klient-avokat. Mbi prezumimin e pafajësisë, duhet të ketë një ndalim të qartë ligjor për referimet publike ndaj fajit të bëra nga autoritetet publike.</w:t>
      </w:r>
    </w:p>
    <w:p w:rsidR="00E24640" w:rsidRPr="006B2F15" w:rsidRDefault="00E24640" w:rsidP="00E24640">
      <w:pPr>
        <w:spacing w:afterLines="160" w:after="384"/>
        <w:contextualSpacing/>
        <w:jc w:val="both"/>
        <w:rPr>
          <w:rFonts w:ascii="Times New Roman" w:eastAsia="Calibri" w:hAnsi="Times New Roman" w:cs="Times New Roman"/>
          <w:b/>
          <w:i/>
          <w:sz w:val="24"/>
          <w:szCs w:val="24"/>
          <w:lang w:val="sq-AL"/>
        </w:rPr>
      </w:pPr>
    </w:p>
    <w:p w:rsidR="00E24640" w:rsidRPr="007C0127" w:rsidRDefault="00E24640" w:rsidP="00E24640">
      <w:pPr>
        <w:spacing w:afterLines="160" w:after="384"/>
        <w:contextualSpacing/>
        <w:jc w:val="both"/>
        <w:rPr>
          <w:rFonts w:ascii="Times New Roman" w:eastAsia="Calibri" w:hAnsi="Times New Roman" w:cs="Times New Roman"/>
          <w:b/>
          <w:i/>
          <w:color w:val="FF0000"/>
          <w:sz w:val="24"/>
          <w:szCs w:val="24"/>
          <w:lang w:val="sq-AL"/>
        </w:rPr>
      </w:pPr>
      <w:r w:rsidRPr="00A00FF4">
        <w:rPr>
          <w:rFonts w:ascii="Times New Roman" w:eastAsia="Calibri" w:hAnsi="Times New Roman" w:cs="Times New Roman"/>
          <w:sz w:val="24"/>
          <w:szCs w:val="24"/>
          <w:lang w:val="sq-AL"/>
        </w:rPr>
        <w:t xml:space="preserve">Me miratimin e legjislacionit të mbetur zbatues në lidhje me ligjin kuadër të vitit 2017 për mbrojtjen e </w:t>
      </w:r>
      <w:r w:rsidRPr="00A00FF4">
        <w:rPr>
          <w:rFonts w:ascii="Times New Roman" w:eastAsia="Calibri" w:hAnsi="Times New Roman" w:cs="Times New Roman"/>
          <w:b/>
          <w:sz w:val="24"/>
          <w:szCs w:val="24"/>
          <w:lang w:val="sq-AL"/>
        </w:rPr>
        <w:t>pakicave kombëtare</w:t>
      </w:r>
      <w:r w:rsidRPr="00A00FF4">
        <w:rPr>
          <w:rFonts w:ascii="Times New Roman" w:eastAsia="Calibri" w:hAnsi="Times New Roman" w:cs="Times New Roman"/>
          <w:sz w:val="24"/>
          <w:szCs w:val="24"/>
          <w:lang w:val="sq-AL"/>
        </w:rPr>
        <w:t>, në Dhjetor 2021 Qeveria miratoi legjislacion shtesë për krijimin e një fondi për projektet e shoqërisë civile në mbështetje të të drejtave të pakicave, duke çuar numrin e akteve të legjislacionit zbatues të miratuar në nëntë</w:t>
      </w:r>
      <w:r w:rsidRPr="007C0127">
        <w:rPr>
          <w:rFonts w:ascii="Times New Roman" w:eastAsia="Calibri" w:hAnsi="Times New Roman" w:cs="Times New Roman"/>
          <w:b/>
          <w:i/>
          <w:sz w:val="24"/>
          <w:szCs w:val="24"/>
          <w:lang w:val="sq-AL"/>
        </w:rPr>
        <w:t>. Megjithatë, deri më sot, legjislacioni zbatues për çështjet thelbësore të vetëidentifikimit të lirë të pakicave kombëtare dhe përdorimit të gjuhëve mbetet për t'u miratuar.</w:t>
      </w:r>
      <w:r w:rsidRPr="00A00FF4">
        <w:rPr>
          <w:rFonts w:ascii="Times New Roman" w:eastAsia="Calibri" w:hAnsi="Times New Roman" w:cs="Times New Roman"/>
          <w:sz w:val="24"/>
          <w:szCs w:val="24"/>
          <w:lang w:val="sq-AL"/>
        </w:rPr>
        <w:t xml:space="preserve"> U krijua Komiteti Shtetëror për Pakicat Kombëtare. Një seri regjistrimesh pilot u kryen gjatë periudhës raportuese, duke përfshirë zonat e populluara nga pakicat, përpara regjistrimit të plotë të popullsisë dhe banesave që pritet të bëhet në vitin 2023. </w:t>
      </w:r>
      <w:r w:rsidRPr="007C0127">
        <w:rPr>
          <w:rFonts w:ascii="Times New Roman" w:eastAsia="Calibri" w:hAnsi="Times New Roman" w:cs="Times New Roman"/>
          <w:b/>
          <w:i/>
          <w:color w:val="FF0000"/>
          <w:sz w:val="24"/>
          <w:szCs w:val="24"/>
          <w:lang w:val="sq-AL"/>
        </w:rPr>
        <w:t>Është e rëndësishme që Shqipëria të kryejë regjistrimin e popullsisë në mënyrë transparente dhe pa probleme si dhe në përputhje me standardet ndërkombëtare.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7C0127"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Në përgjithësi përparim i kufizuar u arrit në përfshirjen sociale të pakicave </w:t>
      </w:r>
      <w:r w:rsidRPr="00A00FF4">
        <w:rPr>
          <w:rFonts w:ascii="Times New Roman" w:eastAsia="Calibri" w:hAnsi="Times New Roman" w:cs="Times New Roman"/>
          <w:b/>
          <w:sz w:val="24"/>
          <w:szCs w:val="24"/>
          <w:lang w:val="sq-AL"/>
        </w:rPr>
        <w:t>rome dhe egjiptiane</w:t>
      </w:r>
      <w:r w:rsidRPr="00A00FF4">
        <w:rPr>
          <w:rFonts w:ascii="Times New Roman" w:eastAsia="Calibri" w:hAnsi="Times New Roman" w:cs="Times New Roman"/>
          <w:b/>
          <w:sz w:val="24"/>
          <w:szCs w:val="24"/>
          <w:vertAlign w:val="superscript"/>
          <w:lang w:val="sq-AL"/>
        </w:rPr>
        <w:footnoteReference w:id="3"/>
      </w:r>
      <w:r w:rsidRPr="00A00FF4">
        <w:rPr>
          <w:rFonts w:ascii="Times New Roman" w:eastAsia="Calibri" w:hAnsi="Times New Roman" w:cs="Times New Roman"/>
          <w:b/>
          <w:sz w:val="24"/>
          <w:szCs w:val="24"/>
          <w:lang w:val="sq-AL"/>
        </w:rPr>
        <w:t>.</w:t>
      </w:r>
      <w:r w:rsidRPr="00A00FF4">
        <w:rPr>
          <w:rFonts w:ascii="Times New Roman" w:eastAsia="Calibri" w:hAnsi="Times New Roman" w:cs="Times New Roman"/>
          <w:sz w:val="24"/>
          <w:szCs w:val="24"/>
          <w:lang w:val="sq-AL"/>
        </w:rPr>
        <w:t xml:space="preserve"> Në Nëntor 2021, u miratua plani i ri kombëtar i veprimit për barazinë, përfshirjen dhe pjesëmarrjen e romëve dhe egjiptianëve në Shqipëri (2021-2025), pas një procesi konsultimi gjithëpërfshirës dhe pjesëmarrës. Plani i veprimit financohet nga buxheti i shtetit (78.8%), bashkitë (13.7%) dhe donatorët (0.7%). Hendeku në financim prej 6.8%, duhet të adresohet. </w:t>
      </w:r>
      <w:r w:rsidRPr="007C0127">
        <w:rPr>
          <w:rFonts w:ascii="Times New Roman" w:eastAsia="Calibri" w:hAnsi="Times New Roman" w:cs="Times New Roman"/>
          <w:b/>
          <w:i/>
          <w:sz w:val="24"/>
          <w:szCs w:val="24"/>
          <w:lang w:val="sq-AL"/>
        </w:rPr>
        <w:t>Kapaciteti institucional i Ministrisë së Shëndetësisë dhe Mbrojtjes Sociale, përgjegjëse për koordinimin e politikave të lidhura me romët, mbetet i dobët. Kapaciteti i burimeve njerëzore të departamentit të përfshirjes sociale duhet të forcohet. Pjesëmarrja e romëve në administratën lokale duhet të përmirësohet dhe koordinimi ndërministror, ​​kombëtar dhe vendor për përfshirjen e romëve duhet të forcohet më tej.</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787B6C"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Pas heqjes së masave të mësimit në distancë dhe karantinës në lidhje me pandeminë COVID-19, pjesëmarrja e fëmijëve romë dhe egjiptianë në sistemin arsimor u përmirësua paksa. Fëmijët romë dhe egjiptianë kanë vazhduar gjithashtu të përfitojnë nga bursat dhe programet e arsimit me kohë të pjesshme, si dhe nga tekstet shkollore falas dhe transporti për në shkollat ​​e largëta. </w:t>
      </w:r>
      <w:r w:rsidRPr="00787B6C">
        <w:rPr>
          <w:rFonts w:ascii="Times New Roman" w:eastAsia="Calibri" w:hAnsi="Times New Roman" w:cs="Times New Roman"/>
          <w:b/>
          <w:i/>
          <w:sz w:val="24"/>
          <w:szCs w:val="24"/>
          <w:lang w:val="sq-AL"/>
        </w:rPr>
        <w:t xml:space="preserve">Megjithatë, veçimi në shkolla mbetet një çështje që duhet të adresohet në mënyrë sistematike. </w:t>
      </w:r>
      <w:r w:rsidRPr="00A00FF4">
        <w:rPr>
          <w:rFonts w:ascii="Times New Roman" w:eastAsia="Calibri" w:hAnsi="Times New Roman" w:cs="Times New Roman"/>
          <w:sz w:val="24"/>
          <w:szCs w:val="24"/>
          <w:lang w:val="sq-AL"/>
        </w:rPr>
        <w:t xml:space="preserve">Në Maj 2022, GJEDNJ-ja vuri në dukje se autoritetet shqiptare kishin dështuar në marrjen e hapave për mos ndarjen e fëmijëve romë dhe egjiptianë në një shkollë fillore në Korçë dhe për të zbatuar vendimin </w:t>
      </w:r>
      <w:r w:rsidRPr="00A00FF4">
        <w:rPr>
          <w:rFonts w:ascii="Times New Roman" w:eastAsia="Calibri" w:hAnsi="Times New Roman" w:cs="Times New Roman"/>
          <w:sz w:val="24"/>
          <w:szCs w:val="24"/>
          <w:lang w:val="sq-AL"/>
        </w:rPr>
        <w:lastRenderedPageBreak/>
        <w:t xml:space="preserve">e KMD-së që urdhëronte Ministrinë e Arsimit dhe Sportit të përmirësonte situatën. Shkalla e përgjithshme e punësimit të romëve dhe egjiptianëve, tashmë shumë e ulët, vazhdoi të përkeqësohej për shkak të pandemisë COVID-19. </w:t>
      </w:r>
      <w:r w:rsidRPr="00787B6C">
        <w:rPr>
          <w:rFonts w:ascii="Times New Roman" w:eastAsia="Calibri" w:hAnsi="Times New Roman" w:cs="Times New Roman"/>
          <w:b/>
          <w:i/>
          <w:sz w:val="24"/>
          <w:szCs w:val="24"/>
          <w:lang w:val="sq-AL"/>
        </w:rPr>
        <w:t>Përpjekjet për të mbrojtur dhe përmirësuar standardet socio-ekonomike të pakicave rome dhe egjiptiane, në përputhje me Deklaratën e Poznan-it dhe kuadrin e Investimeve të Ballkanit Perëndimor duhet të vihen në plan të parë.</w:t>
      </w:r>
      <w:r w:rsidRPr="00A00FF4">
        <w:rPr>
          <w:rFonts w:ascii="Times New Roman" w:eastAsia="Calibri" w:hAnsi="Times New Roman" w:cs="Times New Roman"/>
          <w:sz w:val="24"/>
          <w:szCs w:val="24"/>
          <w:lang w:val="sq-AL"/>
        </w:rPr>
        <w:t xml:space="preserve"> Pas dy vitesh vonesë për shkak të kufizimeve të COVID-19, në Prill u zhvillua Dialogu i Pestë i Politikave BE-Shqipëri për Përfshirjen e Komuniteteve Rome dhe Egjiptiane (i njohur ndryshe si Seminari Rom). </w:t>
      </w:r>
      <w:r w:rsidRPr="00787B6C">
        <w:rPr>
          <w:rFonts w:ascii="Times New Roman" w:eastAsia="Calibri" w:hAnsi="Times New Roman" w:cs="Times New Roman"/>
          <w:b/>
          <w:i/>
          <w:sz w:val="24"/>
          <w:szCs w:val="24"/>
          <w:lang w:val="sq-AL"/>
        </w:rPr>
        <w:t>Mbulimi me sigurim shëndetësor për romët dhe egjiptianët mbetet i ulët. Romët dhe egjiptianët vazhdojnë të përfitojnë kuotën 5% nëpërmjet zbatimit të ligjit për strehimin social.</w:t>
      </w:r>
      <w:r w:rsidRPr="00A00FF4">
        <w:rPr>
          <w:rFonts w:ascii="Times New Roman" w:eastAsia="Calibri" w:hAnsi="Times New Roman" w:cs="Times New Roman"/>
          <w:sz w:val="24"/>
          <w:szCs w:val="24"/>
          <w:lang w:val="sq-AL"/>
        </w:rPr>
        <w:t xml:space="preserve"> Qasja në dokumente personale është përmirësuar për të dy komunitetet. </w:t>
      </w:r>
      <w:r w:rsidRPr="00787B6C">
        <w:rPr>
          <w:rFonts w:ascii="Times New Roman" w:eastAsia="Calibri" w:hAnsi="Times New Roman" w:cs="Times New Roman"/>
          <w:b/>
          <w:i/>
          <w:sz w:val="24"/>
          <w:szCs w:val="24"/>
          <w:lang w:val="sq-AL"/>
        </w:rPr>
        <w:t>Megjithatë, pengesa të tjera si mungesa e aftësive dixhitale dhe aksesi në teknologji vazhdojnë t'i pengojnë romët dhe egjiptianët të gëzojnë plotësisht të drejtat e tyre dhe të kenë akses në shumicën e shërbimeve publike, të cilat tashmë janë dixhitale (kujdesi shëndetësor, arsimi, punësimi, mbrojtja sociale etj.).</w:t>
      </w:r>
      <w:r w:rsidRPr="00A00FF4">
        <w:rPr>
          <w:rFonts w:ascii="Times New Roman" w:eastAsia="Calibri" w:hAnsi="Times New Roman" w:cs="Times New Roman"/>
          <w:sz w:val="24"/>
          <w:szCs w:val="24"/>
          <w:lang w:val="sq-AL"/>
        </w:rPr>
        <w:t xml:space="preserve"> </w:t>
      </w:r>
      <w:r w:rsidRPr="00787B6C">
        <w:rPr>
          <w:rFonts w:ascii="Times New Roman" w:eastAsia="Calibri" w:hAnsi="Times New Roman" w:cs="Times New Roman"/>
          <w:b/>
          <w:i/>
          <w:sz w:val="24"/>
          <w:szCs w:val="24"/>
          <w:lang w:val="sq-AL"/>
        </w:rPr>
        <w:t>Kërkohen përpjekje dhe burime shtesë për të përshpejtuar përfshirjen e romëve dhe egjiptianëve, për të trajtuar anticiganizmin dhe diskriminimin, si dhe ndarjen arsimore dhe hapësinore, dhe për të reduktuar hendekun me pjesën tjetër të popullsisë.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Për të </w:t>
      </w:r>
      <w:r w:rsidRPr="00A00FF4">
        <w:rPr>
          <w:rFonts w:ascii="Times New Roman" w:eastAsia="Calibri" w:hAnsi="Times New Roman" w:cs="Times New Roman"/>
          <w:b/>
          <w:sz w:val="24"/>
          <w:szCs w:val="24"/>
          <w:lang w:val="sq-AL"/>
        </w:rPr>
        <w:t>drejtat e nënshtetësisë</w:t>
      </w:r>
      <w:r w:rsidRPr="00A00FF4">
        <w:rPr>
          <w:rFonts w:ascii="Times New Roman" w:eastAsia="Calibri" w:hAnsi="Times New Roman" w:cs="Times New Roman"/>
          <w:sz w:val="24"/>
          <w:szCs w:val="24"/>
          <w:lang w:val="sq-AL"/>
        </w:rPr>
        <w:t xml:space="preserve">, agjencia përgjegjëse për programet e veçanta të shtetësisë, e ngritur nën autoritetin e Ministrit të Brendshëm, është pajisur gjatë periudhës raportuese me katër punonjës. Në Mars dhe Prill 2022, Këshilli i Ministrave vendosi të krijojë dy programe për marrjen e nënshtetësisë Shqiptare mbi bazën e meritave të veçanta në fushën e artit, kulturës, arsimit, shkencës dhe sportit, pa u kërkuar aplikantëve që të kenë një rezidencë paraprake në Shqipëri. Në fund të Korrikut 2022, Këshilli i Ministrave miratoi një vendim që lejonte Ministrinë e Brendshme të hapte një tender për një partneritet publik-privat që do të shërbente për të vendosur një skemë të shtetësisë së investitorëve (pasaportat e arta). </w:t>
      </w:r>
      <w:r w:rsidRPr="00787B6C">
        <w:rPr>
          <w:rFonts w:ascii="Times New Roman" w:eastAsia="Calibri" w:hAnsi="Times New Roman" w:cs="Times New Roman"/>
          <w:b/>
          <w:i/>
          <w:color w:val="FF0000"/>
          <w:sz w:val="24"/>
          <w:szCs w:val="24"/>
          <w:lang w:val="sq-AL"/>
        </w:rPr>
        <w:t>Një skemë e tillë do të përbënte rreziqe në lidhje me sigurinë, pastrimin e parave, evazionin fiskal, financimin e terrorizmit, korrupsionin dhe infiltrimin nga krimi i organizuar dhe do të ishte e papajtueshme me acquis të BE-së. Si vend kandidat, Shqipëria duhet të përmbahet nga zhvillimi i një skeme të tillë.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r w:rsidRPr="00A00FF4">
        <w:rPr>
          <w:rFonts w:ascii="Times New Roman" w:eastAsia="Calibri" w:hAnsi="Times New Roman" w:cs="Times New Roman"/>
          <w:b/>
          <w:sz w:val="24"/>
          <w:szCs w:val="24"/>
          <w:u w:val="single"/>
          <w:lang w:val="sq-AL"/>
        </w:rPr>
        <w:t>2</w:t>
      </w:r>
      <w:r w:rsidRPr="00A00FF4">
        <w:rPr>
          <w:rFonts w:ascii="Times New Roman" w:eastAsia="Calibri" w:hAnsi="Times New Roman" w:cs="Times New Roman"/>
          <w:b/>
          <w:sz w:val="24"/>
          <w:szCs w:val="24"/>
          <w:lang w:val="sq-AL"/>
        </w:rPr>
        <w:t>.2.2. Kapitulli 24: Drejtësia, liria dhe siguria</w:t>
      </w: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BE ka rregulla të përbashkëta për kontrollin e kufijve, vizat, lejet e qëndrimit dhe punës, migrimin e jashtëm dhe azilin. Bashkëpunimi Shengen përfshin heqjen e kontrolleve kufitare brenda BE-së. Shtetet Anëtare bashkëpunojnë gjithashtu me Shqipërinë në luftën kundër krimit të organizuar, korrupsionit dhe terrorizmit, si dhe për çështjet gjyqësore, policore dhe doganore, të gjitha me mbështetjen e Agjencive të Drejtësisë dhe Çështjeve të Brendshme të BE-së, të cilat kanë nivelin më të avancuar të angazhimit me Shqipërinë.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Shqipëria ka </w:t>
      </w:r>
      <w:r w:rsidRPr="00A00FF4">
        <w:rPr>
          <w:rFonts w:ascii="Times New Roman" w:eastAsia="Calibri" w:hAnsi="Times New Roman" w:cs="Times New Roman"/>
          <w:b/>
          <w:sz w:val="24"/>
          <w:szCs w:val="24"/>
          <w:lang w:val="sq-AL"/>
        </w:rPr>
        <w:t>një nivel të caktuar përgatitjeje/është e përgatitur në nivel të moderuar</w:t>
      </w:r>
      <w:r w:rsidRPr="00A00FF4">
        <w:rPr>
          <w:rFonts w:ascii="Times New Roman" w:eastAsia="Calibri" w:hAnsi="Times New Roman" w:cs="Times New Roman"/>
          <w:sz w:val="24"/>
          <w:szCs w:val="24"/>
          <w:lang w:val="sq-AL"/>
        </w:rPr>
        <w:t xml:space="preserve"> për të zbatuar acquis të BE-së në fushën e drejtësisë, lirisë dhe sigurisë. Është bërë </w:t>
      </w:r>
      <w:r w:rsidRPr="00A00FF4">
        <w:rPr>
          <w:rFonts w:ascii="Times New Roman" w:eastAsia="Calibri" w:hAnsi="Times New Roman" w:cs="Times New Roman"/>
          <w:b/>
          <w:sz w:val="24"/>
          <w:szCs w:val="24"/>
          <w:lang w:val="sq-AL"/>
        </w:rPr>
        <w:t>njëfarë progresi</w:t>
      </w:r>
      <w:r w:rsidRPr="00A00FF4">
        <w:rPr>
          <w:rFonts w:ascii="Times New Roman" w:eastAsia="Calibri" w:hAnsi="Times New Roman" w:cs="Times New Roman"/>
          <w:sz w:val="24"/>
          <w:szCs w:val="24"/>
          <w:lang w:val="sq-AL"/>
        </w:rPr>
        <w:t xml:space="preserve"> në përgjithësi. Strukturat e Specializuara kundër Krimit të Organizuar dhe Korrupsionit (SPAK) po ndërtojnë një rekord fillestar të rasteve të zbatimit të ligjit dhe zbatimi i Planit të Veprimit të Task Forcës së Veprimit Financiar (</w:t>
      </w:r>
      <w:r w:rsidR="00787B6C">
        <w:rPr>
          <w:rFonts w:ascii="Times New Roman" w:eastAsia="Calibri" w:hAnsi="Times New Roman" w:cs="Times New Roman"/>
          <w:sz w:val="24"/>
          <w:szCs w:val="24"/>
          <w:lang w:val="sq-AL"/>
        </w:rPr>
        <w:t>FATF</w:t>
      </w:r>
      <w:r w:rsidR="00BE0935">
        <w:rPr>
          <w:rFonts w:ascii="Times New Roman" w:eastAsia="Calibri" w:hAnsi="Times New Roman" w:cs="Times New Roman"/>
          <w:sz w:val="24"/>
          <w:szCs w:val="24"/>
          <w:lang w:val="sq-AL"/>
        </w:rPr>
        <w:t>)</w:t>
      </w:r>
      <w:r w:rsidRPr="00A00FF4">
        <w:rPr>
          <w:rFonts w:ascii="Times New Roman" w:eastAsia="Calibri" w:hAnsi="Times New Roman" w:cs="Times New Roman"/>
          <w:sz w:val="24"/>
          <w:szCs w:val="24"/>
          <w:lang w:val="sq-AL"/>
        </w:rPr>
        <w:t xml:space="preserve"> ka përparuar ndjeshëm. </w:t>
      </w:r>
      <w:r w:rsidRPr="00BE0935">
        <w:rPr>
          <w:rFonts w:ascii="Times New Roman" w:eastAsia="Calibri" w:hAnsi="Times New Roman" w:cs="Times New Roman"/>
          <w:b/>
          <w:color w:val="FF0000"/>
          <w:sz w:val="24"/>
          <w:szCs w:val="24"/>
          <w:lang w:val="sq-AL"/>
        </w:rPr>
        <w:t xml:space="preserve">Rezultatet për rastet e pastrimit </w:t>
      </w:r>
      <w:r w:rsidRPr="00BE0935">
        <w:rPr>
          <w:rFonts w:ascii="Times New Roman" w:eastAsia="Calibri" w:hAnsi="Times New Roman" w:cs="Times New Roman"/>
          <w:b/>
          <w:color w:val="FF0000"/>
          <w:sz w:val="24"/>
          <w:szCs w:val="24"/>
          <w:lang w:val="sq-AL"/>
        </w:rPr>
        <w:lastRenderedPageBreak/>
        <w:t>të parave dhe korrupsionit të nivelit të lartë mbetet i pamjaftueshëm, hetimet financiare duhet të zhvillohen më tej dhe Plani i Veprimit duhet të përfundojë.</w:t>
      </w:r>
      <w:r w:rsidRPr="00A00FF4">
        <w:rPr>
          <w:rFonts w:ascii="Times New Roman" w:eastAsia="Calibri" w:hAnsi="Times New Roman" w:cs="Times New Roman"/>
          <w:sz w:val="24"/>
          <w:szCs w:val="24"/>
          <w:lang w:val="sq-AL"/>
        </w:rPr>
        <w:t xml:space="preserve"> Shqipëria ka vazhduar angazhimin e saj pozitiv me të gjitha agjencitë e drejtësisë dhe të punëve të brendshme të BE-së. </w:t>
      </w:r>
      <w:r w:rsidRPr="00BE0935">
        <w:rPr>
          <w:rFonts w:ascii="Times New Roman" w:eastAsia="Calibri" w:hAnsi="Times New Roman" w:cs="Times New Roman"/>
          <w:b/>
          <w:i/>
          <w:color w:val="FF0000"/>
          <w:sz w:val="24"/>
          <w:szCs w:val="24"/>
          <w:lang w:val="sq-AL"/>
        </w:rPr>
        <w:t>Nuk është bërë progres në referimin në procedurën e azilit dhe zbatimin e procedurave të kthimit në përputhje me kuadrin ligjor.</w:t>
      </w:r>
      <w:r w:rsidRPr="00BE0935">
        <w:rPr>
          <w:rFonts w:ascii="Times New Roman" w:eastAsia="Calibri" w:hAnsi="Times New Roman" w:cs="Times New Roman"/>
          <w:color w:val="FF0000"/>
          <w:sz w:val="24"/>
          <w:szCs w:val="24"/>
          <w:lang w:val="sq-AL"/>
        </w:rPr>
        <w:t xml:space="preserve"> </w:t>
      </w:r>
      <w:r w:rsidRPr="00A00FF4">
        <w:rPr>
          <w:rFonts w:ascii="Times New Roman" w:eastAsia="Calibri" w:hAnsi="Times New Roman" w:cs="Times New Roman"/>
          <w:sz w:val="24"/>
          <w:szCs w:val="24"/>
          <w:lang w:val="sq-AL"/>
        </w:rPr>
        <w:t xml:space="preserve">Numri i kërkesave për azil të paraqitura nga shtetasit Shqiptarë në shtetet anëtare të BE-së dhe vendet e lidhura me Shengen-in mbetet më i ulët se niveli para pandemisë, por është rritur që nga vera e vitit 2021, </w:t>
      </w:r>
      <w:r w:rsidRPr="00BE0935">
        <w:rPr>
          <w:rFonts w:ascii="Times New Roman" w:eastAsia="Calibri" w:hAnsi="Times New Roman" w:cs="Times New Roman"/>
          <w:color w:val="FF0000"/>
          <w:sz w:val="24"/>
          <w:szCs w:val="24"/>
          <w:lang w:val="sq-AL"/>
        </w:rPr>
        <w:t>dhe për këtë arsye kërkohen ende përpjekje të vazhdueshme dhe të qëndrueshme</w:t>
      </w:r>
      <w:r w:rsidRPr="00A00FF4">
        <w:rPr>
          <w:rFonts w:ascii="Times New Roman" w:eastAsia="Calibri" w:hAnsi="Times New Roman" w:cs="Times New Roman"/>
          <w:sz w:val="24"/>
          <w:szCs w:val="24"/>
          <w:lang w:val="sq-AL"/>
        </w:rPr>
        <w:t xml:space="preserve">. </w:t>
      </w:r>
      <w:r w:rsidRPr="00BE0935">
        <w:rPr>
          <w:rFonts w:ascii="Times New Roman" w:eastAsia="Calibri" w:hAnsi="Times New Roman" w:cs="Times New Roman"/>
          <w:b/>
          <w:color w:val="FF0000"/>
          <w:sz w:val="24"/>
          <w:szCs w:val="24"/>
          <w:lang w:val="sq-AL"/>
        </w:rPr>
        <w:t>Shqipëria duhet të vazhdojë të trajtojë fenomenin e të miturve të pashoqëruar. Politika e vizave e Shqipërisë duhet të përafrohet me atë të BE-së.</w:t>
      </w:r>
      <w:r w:rsidRPr="00BE0935">
        <w:rPr>
          <w:rFonts w:ascii="Times New Roman" w:eastAsia="Calibri" w:hAnsi="Times New Roman" w:cs="Times New Roman"/>
          <w:color w:val="FF0000"/>
          <w:sz w:val="24"/>
          <w:szCs w:val="24"/>
          <w:lang w:val="sq-AL"/>
        </w:rPr>
        <w:t xml:space="preserve"> </w:t>
      </w:r>
      <w:r w:rsidRPr="00A00FF4">
        <w:rPr>
          <w:rFonts w:ascii="Times New Roman" w:eastAsia="Calibri" w:hAnsi="Times New Roman" w:cs="Times New Roman"/>
          <w:sz w:val="24"/>
          <w:szCs w:val="24"/>
          <w:lang w:val="sq-AL"/>
        </w:rPr>
        <w:t>Meqenëse është bërë vetëm një përparim i pjesshëm me rekomandimet e Komisionit të vitit 2021, këto mbeten të vlefshme.</w:t>
      </w:r>
    </w:p>
    <w:p w:rsidR="00E24640" w:rsidRPr="00A00FF4"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p>
    <w:p w:rsidR="00E24640" w:rsidRPr="00A00FF4"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Në vitin e ardhshëm, Shqipëria duhet të:</w:t>
      </w:r>
    </w:p>
    <w:p w:rsidR="00E24640" w:rsidRPr="00BE0935"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 </w:t>
      </w:r>
      <w:r w:rsidRPr="00BE0935">
        <w:rPr>
          <w:rFonts w:ascii="Times New Roman" w:eastAsia="Calibri" w:hAnsi="Times New Roman" w:cs="Times New Roman"/>
          <w:b/>
          <w:i/>
          <w:sz w:val="24"/>
          <w:szCs w:val="24"/>
          <w:lang w:val="sq-AL"/>
        </w:rPr>
        <w:t>Të vazhdojë përdorimin sistematik të hetimeve financiare paralele kur kemi të bëjmë me krimin e organizuar, trafikun e paligjshëm, terrorizmin dhe pastrimin e parave;</w:t>
      </w:r>
    </w:p>
    <w:p w:rsidR="00E24640" w:rsidRPr="00BE0935"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BE0935">
        <w:rPr>
          <w:rFonts w:ascii="Times New Roman" w:eastAsia="Calibri" w:hAnsi="Times New Roman" w:cs="Times New Roman"/>
          <w:b/>
          <w:i/>
          <w:sz w:val="24"/>
          <w:szCs w:val="24"/>
          <w:lang w:val="sq-AL"/>
        </w:rPr>
        <w:t> Të arrihet sa më shpejt përfundimi i vonuar i planit të veprimit të rënë dakord me Task Forcën e Veprimit Financiar (</w:t>
      </w:r>
      <w:r w:rsidR="00BE0935">
        <w:rPr>
          <w:rFonts w:ascii="Times New Roman" w:eastAsia="Calibri" w:hAnsi="Times New Roman" w:cs="Times New Roman"/>
          <w:b/>
          <w:i/>
          <w:sz w:val="24"/>
          <w:szCs w:val="24"/>
          <w:lang w:val="sq-AL"/>
        </w:rPr>
        <w:t>FATF</w:t>
      </w:r>
      <w:r w:rsidRPr="00BE0935">
        <w:rPr>
          <w:rFonts w:ascii="Times New Roman" w:eastAsia="Calibri" w:hAnsi="Times New Roman" w:cs="Times New Roman"/>
          <w:b/>
          <w:i/>
          <w:sz w:val="24"/>
          <w:szCs w:val="24"/>
          <w:lang w:val="sq-AL"/>
        </w:rPr>
        <w:t xml:space="preserve">) për parandalimin e pastrimit të parave dhe luftimin e financimit të terrorizmit me synimin për të hequr Shqipërinë nga lista e juridiksioneve të </w:t>
      </w:r>
      <w:r w:rsidR="00BE0935">
        <w:rPr>
          <w:rFonts w:ascii="Times New Roman" w:eastAsia="Calibri" w:hAnsi="Times New Roman" w:cs="Times New Roman"/>
          <w:b/>
          <w:i/>
          <w:sz w:val="24"/>
          <w:szCs w:val="24"/>
          <w:lang w:val="sq-AL"/>
        </w:rPr>
        <w:t>FATF</w:t>
      </w:r>
      <w:r w:rsidRPr="00BE0935">
        <w:rPr>
          <w:rFonts w:ascii="Times New Roman" w:eastAsia="Calibri" w:hAnsi="Times New Roman" w:cs="Times New Roman"/>
          <w:b/>
          <w:i/>
          <w:sz w:val="24"/>
          <w:szCs w:val="24"/>
          <w:lang w:val="sq-AL"/>
        </w:rPr>
        <w:t>-së nën monitorim të shtuar për mangësitë strategjike;</w:t>
      </w:r>
    </w:p>
    <w:p w:rsidR="00E24640" w:rsidRPr="00BE0935" w:rsidRDefault="00E24640" w:rsidP="00787B6C">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BE0935">
        <w:rPr>
          <w:rFonts w:ascii="Times New Roman" w:eastAsia="Calibri" w:hAnsi="Times New Roman" w:cs="Times New Roman"/>
          <w:b/>
          <w:i/>
          <w:sz w:val="24"/>
          <w:szCs w:val="24"/>
          <w:lang w:val="sq-AL"/>
        </w:rPr>
        <w:t> Të zbatojë ligjin për azilin dhe të rifillojë referimet në procedurën e azilit; harmonizojnë procedurat e kthimit me kuadrin ligjor ekzistues; të vazhdojë të trajtojë çështjen e kërkesave të pabazuara për azil dhe të harmonizojë plotësisht legjislacionin kombëtar me listën e vendeve të treta të kërkuara për viza të BE-së.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r w:rsidRPr="00A00FF4">
        <w:rPr>
          <w:rFonts w:ascii="Times New Roman" w:eastAsia="Calibri" w:hAnsi="Times New Roman" w:cs="Times New Roman"/>
          <w:b/>
          <w:sz w:val="24"/>
          <w:szCs w:val="24"/>
          <w:lang w:val="sq-AL"/>
        </w:rPr>
        <w:t>Lufta kundër krimit të organizuar</w:t>
      </w: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p>
    <w:p w:rsidR="00E24640" w:rsidRPr="00A00FF4" w:rsidRDefault="00E24640" w:rsidP="00BE0935">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Vendi ka një </w:t>
      </w:r>
      <w:r w:rsidRPr="00A00FF4">
        <w:rPr>
          <w:rFonts w:ascii="Times New Roman" w:eastAsia="Calibri" w:hAnsi="Times New Roman" w:cs="Times New Roman"/>
          <w:b/>
          <w:sz w:val="24"/>
          <w:szCs w:val="24"/>
          <w:lang w:val="sq-AL"/>
        </w:rPr>
        <w:t>nivel të caktuar përgatitjeje</w:t>
      </w:r>
      <w:r w:rsidRPr="00A00FF4">
        <w:rPr>
          <w:rFonts w:ascii="Times New Roman" w:eastAsia="Calibri" w:hAnsi="Times New Roman" w:cs="Times New Roman"/>
          <w:sz w:val="24"/>
          <w:szCs w:val="24"/>
          <w:lang w:val="sq-AL"/>
        </w:rPr>
        <w:t xml:space="preserve"> në zbatimin e acquis të BE-së në këtë fushë. Është bërë njëfarë progresi në përmbushjen e rekomandimeve të vitit të kaluar. Bashkëpunimi me shtetet anëtare të BE-së, Europolin dhe Eurojust-in ka mbetur i fortë dhe i frytshëm. Shqipëria vazhdoi të tregojë angazhim për të luftuar prodhimin dhe trafikimin e kanabisit. Është bërë përparim i mirë në lidhje me sekuestrimin dhe konfiskimin e aseteve të lidhura me krimin e organizuar dhe duhet të vazhdojë në të ardhmen. </w:t>
      </w:r>
      <w:r w:rsidRPr="00BE0935">
        <w:rPr>
          <w:rFonts w:ascii="Times New Roman" w:eastAsia="Calibri" w:hAnsi="Times New Roman" w:cs="Times New Roman"/>
          <w:b/>
          <w:i/>
          <w:sz w:val="24"/>
          <w:szCs w:val="24"/>
          <w:lang w:val="sq-AL"/>
        </w:rPr>
        <w:t>Përpjekjet gjithashtu duhet të vazhdojnë për të siguruar rritje të ndjekjeve penale dhe dënimeve përfundimtare, veçanërisht në nivelet e larta. Kundër krimit kibernetik, trafikimi i qenieve njerëzore dhe pastrimi i parave mbeten fusha në të cilat nevojiten rezultate shtesë. Të gjitha format e abuzimit seksual të fëmijëve në internet duhet të kriminalizohen dhe të hetohen.</w:t>
      </w:r>
    </w:p>
    <w:p w:rsidR="00E24640" w:rsidRPr="00A00FF4" w:rsidRDefault="00E24640" w:rsidP="00BE0935">
      <w:pPr>
        <w:shd w:val="clear" w:color="auto" w:fill="AEAAAA" w:themeFill="background2" w:themeFillShade="BF"/>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Në vitin e ardhshëm, Shqipëria duhet të:</w:t>
      </w:r>
    </w:p>
    <w:p w:rsidR="00E24640" w:rsidRPr="00BE0935" w:rsidRDefault="00E24640" w:rsidP="00BE0935">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 </w:t>
      </w:r>
      <w:r w:rsidRPr="00BE0935">
        <w:rPr>
          <w:rFonts w:ascii="Times New Roman" w:eastAsia="Calibri" w:hAnsi="Times New Roman" w:cs="Times New Roman"/>
          <w:b/>
          <w:i/>
          <w:sz w:val="24"/>
          <w:szCs w:val="24"/>
          <w:lang w:val="sq-AL"/>
        </w:rPr>
        <w:t>Të vazhdojë të forcojë luftën kundër krimit të organizuar, duke përfshirë bashkëpunimin me Shtetet Anëtare të BE-së, si dhe me agjencitë e BE-së, duke përfshirë Europolin dhe Eurojust-in dhe të rrisë përdorimin proaktiv të Aplikacionit të Rrjetit të Sigurtë të Shkëmbimit të Informacionit të Europolit (SIENA) për shkëmbimin e informacionit dhe zgjerimin e praktikës me agjencitë e tjera të zbatimit të ligjit;</w:t>
      </w:r>
    </w:p>
    <w:p w:rsidR="00E24640" w:rsidRPr="00BE0935" w:rsidRDefault="00E24640" w:rsidP="00BE0935">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BE0935">
        <w:rPr>
          <w:rFonts w:ascii="Times New Roman" w:eastAsia="Calibri" w:hAnsi="Times New Roman" w:cs="Times New Roman"/>
          <w:b/>
          <w:i/>
          <w:sz w:val="24"/>
          <w:szCs w:val="24"/>
          <w:lang w:val="sq-AL"/>
        </w:rPr>
        <w:lastRenderedPageBreak/>
        <w:t> Të krijojë pa vonesë një zyrë të rikuperimit të aseteve në përputhje me acquis të BE-së, e cila është përgjegjëse për identifikimin dhe gjurmimin e aseteve kriminale, siç parashikohet nga legjislacioni kombëtar;</w:t>
      </w:r>
    </w:p>
    <w:p w:rsidR="00E24640" w:rsidRPr="00BE0935" w:rsidRDefault="00E24640" w:rsidP="00BE0935">
      <w:pPr>
        <w:shd w:val="clear" w:color="auto" w:fill="AEAAAA" w:themeFill="background2" w:themeFillShade="BF"/>
        <w:spacing w:afterLines="160" w:after="384"/>
        <w:contextualSpacing/>
        <w:jc w:val="both"/>
        <w:rPr>
          <w:rFonts w:ascii="Times New Roman" w:eastAsia="Calibri" w:hAnsi="Times New Roman" w:cs="Times New Roman"/>
          <w:b/>
          <w:i/>
          <w:sz w:val="24"/>
          <w:szCs w:val="24"/>
          <w:lang w:val="sq-AL"/>
        </w:rPr>
      </w:pPr>
      <w:r w:rsidRPr="00BE0935">
        <w:rPr>
          <w:rFonts w:ascii="Times New Roman" w:eastAsia="Calibri" w:hAnsi="Times New Roman" w:cs="Times New Roman"/>
          <w:b/>
          <w:i/>
          <w:sz w:val="24"/>
          <w:szCs w:val="24"/>
          <w:lang w:val="sq-AL"/>
        </w:rPr>
        <w:t> Të sigurojë që Zyra e Prokurorisë së Posaçme dhe Byroja Kombëtare e Hetimit të vazhdojnë të rrisin aksesin operacional në të gjitha bazat e të dhënave përkatëse.</w:t>
      </w: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Organizimi institucional dhe harmonizimi ligjor</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BE093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Policia e Shtetit Shqiptar (PSHSH) ka gjithsej 11 804 oficerë, ekuivalente me 260 oficerë për 100 000 banorë, krahasuar me një mesatare të BE-së prej 333 për 100 000 banorë (Eurostat, 2018-2020). Levizjet e stafit janë të shpeshta, duke ndikuar në kapacitetin operacional të PSH. </w:t>
      </w:r>
      <w:r w:rsidRPr="00BE0935">
        <w:rPr>
          <w:rFonts w:ascii="Times New Roman" w:eastAsia="Calibri" w:hAnsi="Times New Roman" w:cs="Times New Roman"/>
          <w:b/>
          <w:i/>
          <w:sz w:val="24"/>
          <w:szCs w:val="24"/>
          <w:lang w:val="sq-AL"/>
        </w:rPr>
        <w:t>Pas transferimit të disa prej kompetencave të ish- Prokurorisë së Krimeve të Rënda në prokuroritë e</w:t>
      </w:r>
      <w:r w:rsidRPr="00A00FF4">
        <w:rPr>
          <w:rFonts w:ascii="Times New Roman" w:eastAsia="Calibri" w:hAnsi="Times New Roman" w:cs="Times New Roman"/>
          <w:sz w:val="24"/>
          <w:szCs w:val="24"/>
          <w:lang w:val="sq-AL"/>
        </w:rPr>
        <w:t xml:space="preserve"> </w:t>
      </w:r>
      <w:r w:rsidRPr="00BE0935">
        <w:rPr>
          <w:rFonts w:ascii="Times New Roman" w:eastAsia="Calibri" w:hAnsi="Times New Roman" w:cs="Times New Roman"/>
          <w:b/>
          <w:i/>
          <w:sz w:val="24"/>
          <w:szCs w:val="24"/>
          <w:lang w:val="sq-AL"/>
        </w:rPr>
        <w:t>rretheve, oficerët e policisë gjyqësore kanë nevojë për trajnime të mëtejshme për të hetuar, veçanërisht për krimet financiare, pastrimin e parave dhe veprat e trafikimit të paligjshëm. Shqipëria duhet t'u sigurojë institucioneve përkatëse burimet e duhura për të garantuar vazhdimësinë në luftën kundër krimit të organizuar.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BE0935"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Strukturat e Specializuara Kundër Korrupsionit dhe Krimit të Organizuar (SPAK) kanë nisur të krijojnë histori të hetimeve dhe dënimeve për krimin e organizuar me 48 hetime të reja dhe 128 dënime (për 418 persona) në shkallë të parë dhe 41 dënime përfundimtare (116 persona) në apel. niveli në vitin 2021. Zyra e Prokurorisë Speciale tani ka 17 prokurorë. BKH aktualisht ka akses në pesë baza të të dhënave dhe është angazhuar në marrëveshje dypalëshe për të hyrë në nëntë të tjera deri në fund të vitit 2022. Ky </w:t>
      </w:r>
      <w:r w:rsidRPr="00BE0935">
        <w:rPr>
          <w:rFonts w:ascii="Times New Roman" w:eastAsia="Calibri" w:hAnsi="Times New Roman" w:cs="Times New Roman"/>
          <w:b/>
          <w:i/>
          <w:sz w:val="24"/>
          <w:szCs w:val="24"/>
          <w:lang w:val="sq-AL"/>
        </w:rPr>
        <w:t xml:space="preserve">trend duhet të vazhdojë dhe BKH-së duhet t'i jepet akses në të gjitha bazat e të dhënave duke </w:t>
      </w:r>
      <w:r w:rsidR="00BE0935">
        <w:rPr>
          <w:rFonts w:ascii="Times New Roman" w:eastAsia="Calibri" w:hAnsi="Times New Roman" w:cs="Times New Roman"/>
          <w:b/>
          <w:i/>
          <w:sz w:val="24"/>
          <w:szCs w:val="24"/>
          <w:lang w:val="sq-AL"/>
        </w:rPr>
        <w:t xml:space="preserve">i dhënë vlerë hetimeve të tyre. </w:t>
      </w:r>
      <w:r w:rsidRPr="00A00FF4">
        <w:rPr>
          <w:rFonts w:ascii="Times New Roman" w:eastAsia="Calibri" w:hAnsi="Times New Roman" w:cs="Times New Roman"/>
          <w:sz w:val="24"/>
          <w:szCs w:val="24"/>
          <w:lang w:val="sq-AL"/>
        </w:rPr>
        <w:t>Grupi i dytë i hetuesve për Byronë Kombëtare të Hetimit (BKH) – 32 individë – janë përzgjedhur dhe verifikuar. Ata përfunduan katër muajt e trajnimit fillestar dhe morën detyrën në Qershor 2022, duke plotësuar kështu 60 pozicionet e hetuesve të BKH. BKH ka nënshkruar një sërë marrëveshjesh me agjenci të tjera ligjzbatuese, duke lejuar veçanërisht aksesin e hetuesve të BKH në bazat e të dhënave të Policisë së Shtetit Shqiptar dhe të Drejtorisë së Përgjithshme të Tatimeve.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b/>
          <w:sz w:val="24"/>
          <w:szCs w:val="24"/>
          <w:lang w:val="sq-AL"/>
        </w:rPr>
        <w:t>Kuadri ligjor</w:t>
      </w:r>
      <w:r w:rsidRPr="00A00FF4">
        <w:rPr>
          <w:rFonts w:ascii="Times New Roman" w:eastAsia="Calibri" w:hAnsi="Times New Roman" w:cs="Times New Roman"/>
          <w:sz w:val="24"/>
          <w:szCs w:val="24"/>
          <w:lang w:val="sq-AL"/>
        </w:rPr>
        <w:t xml:space="preserve"> u përafrua më tej me acquis të BE-së, veçanërisht në fushën e kundër pastrimit të parave. </w:t>
      </w:r>
      <w:r w:rsidRPr="00BE0935">
        <w:rPr>
          <w:rFonts w:ascii="Times New Roman" w:eastAsia="Calibri" w:hAnsi="Times New Roman" w:cs="Times New Roman"/>
          <w:sz w:val="24"/>
          <w:szCs w:val="24"/>
          <w:lang w:val="sq-AL"/>
        </w:rPr>
        <w:t xml:space="preserve">Regjistri i </w:t>
      </w:r>
      <w:r w:rsidR="00BE0935" w:rsidRPr="00BE0935">
        <w:rPr>
          <w:rFonts w:ascii="Times New Roman" w:eastAsia="Calibri" w:hAnsi="Times New Roman" w:cs="Times New Roman"/>
          <w:sz w:val="24"/>
          <w:szCs w:val="24"/>
          <w:lang w:val="sq-AL"/>
        </w:rPr>
        <w:t xml:space="preserve">pronareve perfitues </w:t>
      </w:r>
      <w:r w:rsidRPr="00A00FF4">
        <w:rPr>
          <w:rFonts w:ascii="Times New Roman" w:eastAsia="Calibri" w:hAnsi="Times New Roman" w:cs="Times New Roman"/>
          <w:sz w:val="24"/>
          <w:szCs w:val="24"/>
          <w:lang w:val="sq-AL"/>
        </w:rPr>
        <w:t xml:space="preserve">u plotësua më tej me të dhëna dhe përbëhej nga 96% e bizneseve dhe 86% e </w:t>
      </w:r>
      <w:r w:rsidR="00BE0935">
        <w:rPr>
          <w:rFonts w:ascii="Times New Roman" w:eastAsia="Calibri" w:hAnsi="Times New Roman" w:cs="Times New Roman"/>
          <w:sz w:val="24"/>
          <w:szCs w:val="24"/>
          <w:lang w:val="sq-AL"/>
        </w:rPr>
        <w:t>OJQ</w:t>
      </w:r>
      <w:r w:rsidRPr="00A00FF4">
        <w:rPr>
          <w:rFonts w:ascii="Times New Roman" w:eastAsia="Calibri" w:hAnsi="Times New Roman" w:cs="Times New Roman"/>
          <w:sz w:val="24"/>
          <w:szCs w:val="24"/>
          <w:lang w:val="sq-AL"/>
        </w:rPr>
        <w:t xml:space="preserve">-ve që nga Marsi 2022. </w:t>
      </w:r>
      <w:r w:rsidRPr="00BE0935">
        <w:rPr>
          <w:rFonts w:ascii="Times New Roman" w:eastAsia="Calibri" w:hAnsi="Times New Roman" w:cs="Times New Roman"/>
          <w:b/>
          <w:i/>
          <w:sz w:val="24"/>
          <w:szCs w:val="24"/>
          <w:lang w:val="sq-AL"/>
        </w:rPr>
        <w:t xml:space="preserve">Megjithatë, asnjë sanksion nuk u aplikua për ata që nuk e kanë respektuar këtë detyrim raportimi si afat fillestar për regjistrim është zgjatur deri në fund të qershorit 2022 </w:t>
      </w:r>
      <w:r w:rsidRPr="00A00FF4">
        <w:rPr>
          <w:rFonts w:ascii="Times New Roman" w:eastAsia="Calibri" w:hAnsi="Times New Roman" w:cs="Times New Roman"/>
          <w:sz w:val="24"/>
          <w:szCs w:val="24"/>
          <w:lang w:val="sq-AL"/>
        </w:rPr>
        <w:t xml:space="preserve">dhe regjimi i sanksioneve është përditësuar në kuadër të ndryshimeve të bëra në Ligjin për krijimin e regjistrit </w:t>
      </w:r>
      <w:r w:rsidR="00BE0935">
        <w:rPr>
          <w:rFonts w:ascii="Times New Roman" w:eastAsia="Calibri" w:hAnsi="Times New Roman" w:cs="Times New Roman"/>
          <w:sz w:val="24"/>
          <w:szCs w:val="24"/>
          <w:lang w:val="sq-AL"/>
        </w:rPr>
        <w:t xml:space="preserve">te </w:t>
      </w:r>
      <w:r w:rsidR="00BE0935" w:rsidRPr="00BE0935">
        <w:rPr>
          <w:rFonts w:ascii="Times New Roman" w:eastAsia="Calibri" w:hAnsi="Times New Roman" w:cs="Times New Roman"/>
          <w:sz w:val="24"/>
          <w:szCs w:val="24"/>
          <w:lang w:val="sq-AL"/>
        </w:rPr>
        <w:t xml:space="preserve">pronareve perfitues </w:t>
      </w:r>
      <w:r w:rsidRPr="00A00FF4">
        <w:rPr>
          <w:rFonts w:ascii="Times New Roman" w:eastAsia="Calibri" w:hAnsi="Times New Roman" w:cs="Times New Roman"/>
          <w:sz w:val="24"/>
          <w:szCs w:val="24"/>
          <w:lang w:val="sq-AL"/>
        </w:rPr>
        <w:t xml:space="preserve">në Mars 2022. </w:t>
      </w:r>
      <w:r w:rsidRPr="00BE0935">
        <w:rPr>
          <w:rFonts w:ascii="Times New Roman" w:eastAsia="Calibri" w:hAnsi="Times New Roman" w:cs="Times New Roman"/>
          <w:b/>
          <w:i/>
          <w:sz w:val="24"/>
          <w:szCs w:val="24"/>
          <w:lang w:val="sq-AL"/>
        </w:rPr>
        <w:t xml:space="preserve">Zbatimi i mëtejshëm i sanksioneve administrative në rast të shkeljeve të detyrimeve për transparencë nga subjektet e detyruara duhet të monitorohen. </w:t>
      </w:r>
      <w:r w:rsidRPr="00A00FF4">
        <w:rPr>
          <w:rFonts w:ascii="Times New Roman" w:eastAsia="Calibri" w:hAnsi="Times New Roman" w:cs="Times New Roman"/>
          <w:sz w:val="24"/>
          <w:szCs w:val="24"/>
          <w:lang w:val="sq-AL"/>
        </w:rPr>
        <w:t>Regjistri qendror i llogarive bankare i cili u bë funksional në fund të korrikut 2021 ka lejuar hetime më të shpejta.</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Shqipëria ka përparuar në harmonizimin e legjislacionit të armëve të zjarrit dhe eksplozivëve me acquis të BE-së, </w:t>
      </w:r>
      <w:r w:rsidRPr="009B0037">
        <w:rPr>
          <w:rFonts w:ascii="Times New Roman" w:eastAsia="Calibri" w:hAnsi="Times New Roman" w:cs="Times New Roman"/>
          <w:b/>
          <w:i/>
          <w:sz w:val="24"/>
          <w:szCs w:val="24"/>
          <w:lang w:val="sq-AL"/>
        </w:rPr>
        <w:t xml:space="preserve">por duhet të bëjë progres në krijimin e infrastrukturës së nevojshme dhe bazës </w:t>
      </w:r>
      <w:r w:rsidRPr="009B0037">
        <w:rPr>
          <w:rFonts w:ascii="Times New Roman" w:eastAsia="Calibri" w:hAnsi="Times New Roman" w:cs="Times New Roman"/>
          <w:b/>
          <w:i/>
          <w:sz w:val="24"/>
          <w:szCs w:val="24"/>
          <w:lang w:val="sq-AL"/>
        </w:rPr>
        <w:lastRenderedPageBreak/>
        <w:t>ligjore për çaktivizimin e armëve të zjarrit dhe lejimin e dorëzimit vullnetar dhe/ose legalizimit të armëve të zjarrit si një mjet i rëndësishëm. për reduktimin e armëmbajtjes pa leje.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9B0037"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Shqipëria ka një kuadër të fortë ligjor për konfiskimin e produkteve kriminale. </w:t>
      </w:r>
      <w:r w:rsidRPr="009B0037">
        <w:rPr>
          <w:rFonts w:ascii="Times New Roman" w:eastAsia="Calibri" w:hAnsi="Times New Roman" w:cs="Times New Roman"/>
          <w:b/>
          <w:i/>
          <w:sz w:val="24"/>
          <w:szCs w:val="24"/>
          <w:lang w:val="sq-AL"/>
        </w:rPr>
        <w:t>Megjithatë, themelimi i zyrës së rikuperimit të pasurisë, siç kërkohet me Ligjin për administrimin e pasurive të sekuestruara dhe të konfiskuara nga viti 2019, është i vonuar.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C5618" w:rsidRDefault="00E24640" w:rsidP="00E24640">
      <w:pPr>
        <w:spacing w:afterLines="160" w:after="384"/>
        <w:contextualSpacing/>
        <w:jc w:val="both"/>
        <w:rPr>
          <w:rFonts w:ascii="Times New Roman" w:eastAsia="Calibri" w:hAnsi="Times New Roman" w:cs="Times New Roman"/>
          <w:b/>
          <w:i/>
          <w:color w:val="FF0000"/>
          <w:sz w:val="24"/>
          <w:szCs w:val="24"/>
          <w:lang w:val="sq-AL"/>
        </w:rPr>
      </w:pPr>
      <w:r w:rsidRPr="004C5618">
        <w:rPr>
          <w:rFonts w:ascii="Times New Roman" w:eastAsia="Calibri" w:hAnsi="Times New Roman" w:cs="Times New Roman"/>
          <w:b/>
          <w:i/>
          <w:color w:val="FF0000"/>
          <w:sz w:val="24"/>
          <w:szCs w:val="24"/>
          <w:lang w:val="sq-AL"/>
        </w:rPr>
        <w:t>Shqipëria ka ende nevojë të miratojë legjislacionin që synon pasurinë e pajustifikuar, për shembull duke futur masën e konfiskimit të zgjatur dhe duke vendosur kufij financiarë për transaksionet me para. Shqipëria duhet të lejojë më tej 'raportet e transaksioneve të dyshimta' si provë në gjykatë.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C5618" w:rsidRDefault="00E24640" w:rsidP="00E24640">
      <w:pPr>
        <w:spacing w:afterLines="160" w:after="384"/>
        <w:contextualSpacing/>
        <w:jc w:val="both"/>
        <w:rPr>
          <w:rFonts w:ascii="Times New Roman" w:eastAsia="Calibri" w:hAnsi="Times New Roman" w:cs="Times New Roman"/>
          <w:b/>
          <w:i/>
          <w:sz w:val="24"/>
          <w:szCs w:val="24"/>
          <w:lang w:val="sq-AL"/>
        </w:rPr>
      </w:pPr>
      <w:r w:rsidRPr="004C5618">
        <w:rPr>
          <w:rFonts w:ascii="Times New Roman" w:eastAsia="Calibri" w:hAnsi="Times New Roman" w:cs="Times New Roman"/>
          <w:b/>
          <w:i/>
          <w:sz w:val="24"/>
          <w:szCs w:val="24"/>
          <w:lang w:val="sq-AL"/>
        </w:rPr>
        <w:t>Përdorimi i videove të vëzhgimit nga forcat e policisë në disa raste ka demonstruar nevojën për të forcuar masat mbrojtëse ligjore dhe për të siguruar qëndrueshmëri ligjore</w:t>
      </w:r>
      <w:r w:rsidRPr="00A00FF4">
        <w:rPr>
          <w:rFonts w:ascii="Times New Roman" w:eastAsia="Calibri" w:hAnsi="Times New Roman" w:cs="Times New Roman"/>
          <w:sz w:val="24"/>
          <w:szCs w:val="24"/>
          <w:lang w:val="sq-AL"/>
        </w:rPr>
        <w:t xml:space="preserve">. Të dhënat e vëzhgimit janë përdorur jashtë kontrollit nga gjyqësori. </w:t>
      </w:r>
      <w:r w:rsidRPr="004C5618">
        <w:rPr>
          <w:rFonts w:ascii="Times New Roman" w:eastAsia="Calibri" w:hAnsi="Times New Roman" w:cs="Times New Roman"/>
          <w:b/>
          <w:i/>
          <w:sz w:val="24"/>
          <w:szCs w:val="24"/>
          <w:lang w:val="sq-AL"/>
        </w:rPr>
        <w:t>E drejta për privatësi duhet të zbatohet.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i/>
          <w:sz w:val="24"/>
          <w:szCs w:val="24"/>
          <w:lang w:val="sq-AL"/>
        </w:rPr>
      </w:pPr>
      <w:r w:rsidRPr="00A00FF4">
        <w:rPr>
          <w:rFonts w:ascii="Times New Roman" w:eastAsia="Calibri" w:hAnsi="Times New Roman" w:cs="Times New Roman"/>
          <w:sz w:val="24"/>
          <w:szCs w:val="24"/>
          <w:lang w:val="sq-AL"/>
        </w:rPr>
        <w:t xml:space="preserve">Ndërsa Shqipëria është palë e Konventës së Budapestit për krimin kibernetik, ajo ende nuk ka nënshkruar Protokollin e Dytë Shtesë të Konventës për bashkëpunimin e zgjeruar dhe zbulimin e provave elektronike, i cili është hapur për nënshkrim më 12 Maj 2022. Në lidhje me negociatat për një konventë të Kombeve të Bashkuara për krimin kibernetik bazuar në rezolutën 74/247 të Asamblesë së Përgjithshme të Kombeve të Bashkuara, Shqipëria demonstroi modele votimi që janë plotësisht konvergjente me qëndrimin e marrë nga BE dhe Shtetet Anëtare të saj. Mbi bazën e Strategjisë Kombëtare të Sigurisë Kibernetike 2020-2025, mbeten për t'u miratuar akte të reja ligjore dhe nënligjore për krimin kibernetik. Në Korrik 2022, Shqipëria ishte viktimë e një sulmi kibernetik në shkallë të gjerë, i cili çoi në ndërprerjen e përkohshme të shumicës së shërbimeve publike online. </w:t>
      </w:r>
      <w:r w:rsidRPr="00A00FF4">
        <w:rPr>
          <w:rFonts w:ascii="Times New Roman" w:eastAsia="Calibri" w:hAnsi="Times New Roman" w:cs="Times New Roman"/>
          <w:i/>
          <w:sz w:val="24"/>
          <w:szCs w:val="24"/>
          <w:lang w:val="sq-AL"/>
        </w:rPr>
        <w:t>(Shih gjithashtu kapitullin 31 Siguria e Jashtme dhe Politika e Mbrojtjes)</w:t>
      </w:r>
    </w:p>
    <w:p w:rsidR="00E24640" w:rsidRPr="00A00FF4" w:rsidRDefault="00E24640" w:rsidP="00E24640">
      <w:pPr>
        <w:spacing w:afterLines="160" w:after="384"/>
        <w:contextualSpacing/>
        <w:jc w:val="both"/>
        <w:rPr>
          <w:rFonts w:ascii="Times New Roman" w:eastAsia="Calibri" w:hAnsi="Times New Roman" w:cs="Times New Roman"/>
          <w:i/>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b/>
          <w:sz w:val="24"/>
          <w:szCs w:val="24"/>
          <w:lang w:val="sq-AL"/>
        </w:rPr>
        <w:t>Korniza strategjike</w:t>
      </w:r>
      <w:r w:rsidRPr="00A00FF4">
        <w:rPr>
          <w:rFonts w:ascii="Times New Roman" w:eastAsia="Calibri" w:hAnsi="Times New Roman" w:cs="Times New Roman"/>
          <w:sz w:val="24"/>
          <w:szCs w:val="24"/>
          <w:lang w:val="sq-AL"/>
        </w:rPr>
        <w:t xml:space="preserve"> përbëhet nga Strategjia kundër krimeve të organizuara dhe krimeve të rënda për 2021-2025 dhe Plani i saj i Veprimit për 2021-2022 si dhe një Strategji e re ndërsektoriale kundër korrupsionit për 2015-2023 dhe Plani i saj i Veprimit për 2020-2023. Një plan i ri veprimi 2021-2023 për luftën kundër trafikimit të qenieve njerëzore u miratua në Nëntor 2021.</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Kapaciteti zbatues dhe detyrues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Shqipëria vazhdoi përpjekjet e saj drejt ndërtimit të një </w:t>
      </w:r>
      <w:r w:rsidRPr="00A00FF4">
        <w:rPr>
          <w:rFonts w:ascii="Times New Roman" w:eastAsia="Calibri" w:hAnsi="Times New Roman" w:cs="Times New Roman"/>
          <w:b/>
          <w:sz w:val="24"/>
          <w:szCs w:val="24"/>
          <w:lang w:val="sq-AL"/>
        </w:rPr>
        <w:t>historiku</w:t>
      </w:r>
      <w:r w:rsidRPr="00A00FF4">
        <w:rPr>
          <w:rFonts w:ascii="Times New Roman" w:eastAsia="Calibri" w:hAnsi="Times New Roman" w:cs="Times New Roman"/>
          <w:sz w:val="24"/>
          <w:szCs w:val="24"/>
          <w:lang w:val="sq-AL"/>
        </w:rPr>
        <w:t xml:space="preserve"> në luftën kundër krimit të organizuar. Në vitin 2021, janë dërguar 41 raste të reja në prokurori (nga 22 në 2020); 14 aktakuza për një grup të strukturuar kriminal në vitin 2021 (kundër 15 në vitin 2020) dhe 19 raste janë mbyllur me 75 persona me dënime të formës së prerë në nivel apeli (krahasua</w:t>
      </w:r>
      <w:r w:rsidR="004C5618">
        <w:rPr>
          <w:rFonts w:ascii="Times New Roman" w:eastAsia="Calibri" w:hAnsi="Times New Roman" w:cs="Times New Roman"/>
          <w:sz w:val="24"/>
          <w:szCs w:val="24"/>
          <w:lang w:val="sq-AL"/>
        </w:rPr>
        <w:t xml:space="preserve">r me 13 persona në vitin 2020). </w:t>
      </w:r>
      <w:r w:rsidRPr="00A00FF4">
        <w:rPr>
          <w:rFonts w:ascii="Times New Roman" w:eastAsia="Calibri" w:hAnsi="Times New Roman" w:cs="Times New Roman"/>
          <w:sz w:val="24"/>
          <w:szCs w:val="24"/>
          <w:lang w:val="sq-AL"/>
        </w:rPr>
        <w:t>Në vitin 2021, Prokuroria Speciale (PS) ka iniciuar 304 procedime penale – 92 për krim të organizuar dhe 212 për korrupsion, që paraqet një rritje prej 50% krahasuar me një vit më parë. Në të njëjtën periudhë janë dërguar në gjykim 31 procedura penale për korrupsion dhe 15 procedura për krim të organizuar. 23 (kundër 94 të pandehurve) dënime në shkallë të parë janë arritur nga gjykata speciale dhe 52 (kundër 136 të pandehurve) në nivelin e apelit në vitin 2021.</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Për sa i përket </w:t>
      </w:r>
      <w:r w:rsidRPr="00A00FF4">
        <w:rPr>
          <w:rFonts w:ascii="Times New Roman" w:eastAsia="Calibri" w:hAnsi="Times New Roman" w:cs="Times New Roman"/>
          <w:b/>
          <w:sz w:val="24"/>
          <w:szCs w:val="24"/>
          <w:lang w:val="sq-AL"/>
        </w:rPr>
        <w:t>rekordeve</w:t>
      </w:r>
      <w:r w:rsidRPr="00A00FF4">
        <w:rPr>
          <w:rFonts w:ascii="Times New Roman" w:eastAsia="Calibri" w:hAnsi="Times New Roman" w:cs="Times New Roman"/>
          <w:sz w:val="24"/>
          <w:szCs w:val="24"/>
          <w:lang w:val="sq-AL"/>
        </w:rPr>
        <w:t xml:space="preserve"> të krimeve të rënda, ka pasur një rritje të mëtejshme në vitin 2021 me 3 913 raste të reja të referuara në prokurori, nga 2 838 në 2020; kjo rritje vjen më së shumti si pasojë e rritjes së referimeve të rasteve të trafikut të drogës (3 078 referime në 2021 krahasuar me 2 086 në 2020). Referimet e reja për trafikimin e qenieve njerëzore dhe pastrimin e parave kanë mbetur në nivele të ngjashme në vitin 2021, krahasuar me vitin 2020. Për krime të rënda, 791 raste kanë rezultuar me aktakuza në vitin 2021, krahasuar me 581 në 2020. Në vitin 2021, 375 persona janë dënuar për krime të rënda krahasuar me 261 në vitin 2020. Duhet të rritet përdorimi i teknikave speciale të hetimit dhe hetimeve proaktive.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b/>
          <w:sz w:val="24"/>
          <w:szCs w:val="24"/>
          <w:lang w:val="sq-AL"/>
        </w:rPr>
        <w:t>Për bashkëpunimin ndërkombëtar policor,</w:t>
      </w:r>
      <w:r w:rsidRPr="00A00FF4">
        <w:rPr>
          <w:rFonts w:ascii="Times New Roman" w:eastAsia="Calibri" w:hAnsi="Times New Roman" w:cs="Times New Roman"/>
          <w:sz w:val="24"/>
          <w:szCs w:val="24"/>
          <w:lang w:val="sq-AL"/>
        </w:rPr>
        <w:t xml:space="preserve"> një Oficer Ndërlidhës i Europolit u vendos në Tiranë deri në fund të vitit 2021 dhe u lejua të zhvillonte më tej bashkëpunimin midis forcave policore të Shqipërisë dhe vendeve anëtare të BE-së. Në vitin 2021 janë kryer 95 operacione policore në bashkëpunim me partnerë ndërkombëtarë: 78 prej tyre në fushën e narkotikëve, 14 në fushën e trafikut të paligjshëm dhe 3 në f</w:t>
      </w:r>
      <w:r w:rsidR="004C5618">
        <w:rPr>
          <w:rFonts w:ascii="Times New Roman" w:eastAsia="Calibri" w:hAnsi="Times New Roman" w:cs="Times New Roman"/>
          <w:sz w:val="24"/>
          <w:szCs w:val="24"/>
          <w:lang w:val="sq-AL"/>
        </w:rPr>
        <w:t xml:space="preserve">ushën e krimit kibernetik. </w:t>
      </w:r>
      <w:r w:rsidRPr="00A00FF4">
        <w:rPr>
          <w:rFonts w:ascii="Times New Roman" w:eastAsia="Calibri" w:hAnsi="Times New Roman" w:cs="Times New Roman"/>
          <w:sz w:val="24"/>
          <w:szCs w:val="24"/>
          <w:lang w:val="sq-AL"/>
        </w:rPr>
        <w:t>Në vitin 2021, kishte tetë ekipe hetimore të përbashkëta (EPH) me përfshirjen e partnerëve Shqiptarë (4 në 2020), duke rezultuar në 30 takime të përbashkëta operacionale. Shqipëria ka një oficer ndërlidhës policie në Europol dhe po planifikon të vendosë një të dytë.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C5618" w:rsidRDefault="00E24640" w:rsidP="00E24640">
      <w:pPr>
        <w:spacing w:afterLines="160" w:after="384"/>
        <w:contextualSpacing/>
        <w:jc w:val="both"/>
        <w:rPr>
          <w:rFonts w:ascii="Times New Roman" w:eastAsia="Calibri" w:hAnsi="Times New Roman" w:cs="Times New Roman"/>
          <w:b/>
          <w:i/>
          <w:sz w:val="24"/>
          <w:szCs w:val="24"/>
          <w:lang w:val="sq-AL"/>
        </w:rPr>
      </w:pPr>
      <w:r w:rsidRPr="004C5618">
        <w:rPr>
          <w:rFonts w:ascii="Times New Roman" w:eastAsia="Calibri" w:hAnsi="Times New Roman" w:cs="Times New Roman"/>
          <w:b/>
          <w:i/>
          <w:color w:val="FF0000"/>
          <w:sz w:val="24"/>
          <w:szCs w:val="24"/>
          <w:lang w:val="sq-AL"/>
        </w:rPr>
        <w:t>Krahasuar me vitin 2020, në vitin 2021 kishte 3 143 më pak mesazhe të Aplikacionit të Rrjetit të Sigurtë të Shkëmbimit të Informacionit (SIENA) të ndara nga Policia e Shtetit të Shqipërisë me partnerët ndërkombëtarë, që përfaqëson një rënie prej 35%.</w:t>
      </w:r>
      <w:r w:rsidRPr="004C5618">
        <w:rPr>
          <w:rFonts w:ascii="Times New Roman" w:eastAsia="Calibri" w:hAnsi="Times New Roman" w:cs="Times New Roman"/>
          <w:color w:val="FF0000"/>
          <w:sz w:val="24"/>
          <w:szCs w:val="24"/>
          <w:lang w:val="sq-AL"/>
        </w:rPr>
        <w:t xml:space="preserve"> </w:t>
      </w:r>
      <w:r w:rsidRPr="004C5618">
        <w:rPr>
          <w:rFonts w:ascii="Times New Roman" w:eastAsia="Calibri" w:hAnsi="Times New Roman" w:cs="Times New Roman"/>
          <w:b/>
          <w:sz w:val="24"/>
          <w:szCs w:val="24"/>
          <w:lang w:val="sq-AL"/>
        </w:rPr>
        <w:t>Kjo rënie mund të shpjegohet me ricentralizimin e aksesit në kanalin SIENA brenda një Drejtorie të Policisë së Shtetit Shqiptar</w:t>
      </w:r>
      <w:r w:rsidRPr="00A00FF4">
        <w:rPr>
          <w:rFonts w:ascii="Times New Roman" w:eastAsia="Calibri" w:hAnsi="Times New Roman" w:cs="Times New Roman"/>
          <w:sz w:val="24"/>
          <w:szCs w:val="24"/>
          <w:lang w:val="sq-AL"/>
        </w:rPr>
        <w:t xml:space="preserve">. Një marrëveshje u nënshkrua në Nëntor 2021 ndërmjet Policisë së Shtetit Shqiptar dhe Prokurorisë së Posaçme dhe Byrosë Kombëtare të Hetimit, përkatësisht për t'i lejuar ata të aksesojnë SIENA-n. Një marrëveshje e ngjashme ishte bërë në janar 2021 mes Policisë së Shtetit Shqiptar dhe Doganës. </w:t>
      </w:r>
      <w:r w:rsidRPr="004C5618">
        <w:rPr>
          <w:rFonts w:ascii="Times New Roman" w:eastAsia="Calibri" w:hAnsi="Times New Roman" w:cs="Times New Roman"/>
          <w:b/>
          <w:i/>
          <w:sz w:val="24"/>
          <w:szCs w:val="24"/>
          <w:lang w:val="sq-AL"/>
        </w:rPr>
        <w:t>Megjithatë, këto lidhje ende nuk janë vënë në funksion. Kjo duhet të trajtohet si çështje prioritare nga aktorët përkatës të përfshirë. Drejtoria e Përgjithshme e Tatimeve dhe Njësia e Inteligjencës Financiare nuk kanë bërë hapat e nevojshëm për aksesin në SIENA.</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Shqipëria vazhdoi të bashkëpunojë me shërbimet policore të BE-së nëpërmjet Rrjetit Evropian të Ekipeve të Kërkimit të Arratisurve </w:t>
      </w:r>
      <w:r w:rsidR="004C5618">
        <w:rPr>
          <w:rFonts w:ascii="Times New Roman" w:eastAsia="Calibri" w:hAnsi="Times New Roman" w:cs="Times New Roman"/>
          <w:sz w:val="24"/>
          <w:szCs w:val="24"/>
          <w:lang w:val="sq-AL"/>
        </w:rPr>
        <w:t xml:space="preserve">qe jane </w:t>
      </w:r>
      <w:r w:rsidRPr="00A00FF4">
        <w:rPr>
          <w:rFonts w:ascii="Times New Roman" w:eastAsia="Calibri" w:hAnsi="Times New Roman" w:cs="Times New Roman"/>
          <w:sz w:val="24"/>
          <w:szCs w:val="24"/>
          <w:lang w:val="sq-AL"/>
        </w:rPr>
        <w:t xml:space="preserve">në </w:t>
      </w:r>
      <w:r w:rsidRPr="004C5618">
        <w:rPr>
          <w:rFonts w:ascii="Times New Roman" w:eastAsia="Calibri" w:hAnsi="Times New Roman" w:cs="Times New Roman"/>
          <w:sz w:val="24"/>
          <w:szCs w:val="24"/>
          <w:lang w:val="sq-AL"/>
        </w:rPr>
        <w:t>Kërkim (ENFAST), të cilët</w:t>
      </w:r>
      <w:r w:rsidRPr="00A00FF4">
        <w:rPr>
          <w:rFonts w:ascii="Times New Roman" w:eastAsia="Calibri" w:hAnsi="Times New Roman" w:cs="Times New Roman"/>
          <w:sz w:val="24"/>
          <w:szCs w:val="24"/>
          <w:lang w:val="sq-AL"/>
        </w:rPr>
        <w:t xml:space="preserve"> kanë statusin e vëzhguesit. Vendi rriti pjesëmarrjen e tij në Platformën Multidisiplinare Evropiane kundër Kërcënimeve Kriminale (EMPACT). Në vitin 2022, Shqipëria u zotua të marrë pjesë në 120 misione operacionale në 10 nga 15 planet e veprimit operacional EMPACT , duke përfshirë si udhëheqëse misioni për një dhe bashkë-udhëheqëse për dy misione operacionale. Në vitin 2021, Shqipëria mori pjesë në 61 misione operacionale EMPACT, duke u përfshirë si drejtuese misioni në një prej tyre. Shqipëria emëroi n</w:t>
      </w:r>
      <w:r w:rsidR="00F4283F">
        <w:rPr>
          <w:rFonts w:ascii="Times New Roman" w:eastAsia="Calibri" w:hAnsi="Times New Roman" w:cs="Times New Roman"/>
          <w:sz w:val="24"/>
          <w:szCs w:val="24"/>
          <w:lang w:val="sq-AL"/>
        </w:rPr>
        <w:t xml:space="preserve">jë Koordinator Kombëtar EMPACT. </w:t>
      </w:r>
      <w:r w:rsidRPr="00A00FF4">
        <w:rPr>
          <w:rFonts w:ascii="Times New Roman" w:eastAsia="Calibri" w:hAnsi="Times New Roman" w:cs="Times New Roman"/>
          <w:sz w:val="24"/>
          <w:szCs w:val="24"/>
          <w:lang w:val="sq-AL"/>
        </w:rPr>
        <w:t>Shqipëria vazhdoi të marrë pjesë aktive në Ditët e Veprimit të Përbashkët EMPACT duke promovuar bashkëpunimin kundër trafikut të armëve të zjarrit, kontrabandës së migrantëve dhe trafikut të drogës, krimit të automjeteve dhe trafikimit të qenieve njerëzore dhe mashtrimit të dokumenteve.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lastRenderedPageBreak/>
        <w:t>Bashkëpunimi me Interpolin ka vazhduar të japë rezultate pozitive. Fluksi i informacionit të dërguar përmes sistemit të kanalit global të komunikimit të policisë Interpol 24/7 në Byronë Kombëtare të Kontaktit Interpol Tirana është rritur me 14 % në vitin 2021. Bashkëpunimi ndërmjet Akademisë Shqiptare të Sigurisë dhe Agjencisë së BE-së për Trajnimin e Zbatimit të Ligjit (CEPOL) është i vendosur mirë dhe i bazuar në një marrëveshje pune. Ekziston një pikë kontakti e dedikuar. Shqipëria vazhdon të përfitojë akses të plotë në Programin e Shkëmbimit CEPOL dhe të marrë pjesë në projektin e Partneritetit të udhëhequr nga CEPOL kundër Krimit dhe Terrorizmit në Ballkanin Perëndimor, i cili zgjat deri në tetor 2023.</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Sa i përket </w:t>
      </w:r>
      <w:r w:rsidRPr="00A00FF4">
        <w:rPr>
          <w:rFonts w:ascii="Times New Roman" w:eastAsia="Calibri" w:hAnsi="Times New Roman" w:cs="Times New Roman"/>
          <w:b/>
          <w:sz w:val="24"/>
          <w:szCs w:val="24"/>
          <w:lang w:val="sq-AL"/>
        </w:rPr>
        <w:t>kapaciteteve operacionale të brendshme</w:t>
      </w:r>
      <w:r w:rsidRPr="00A00FF4">
        <w:rPr>
          <w:rFonts w:ascii="Times New Roman" w:eastAsia="Calibri" w:hAnsi="Times New Roman" w:cs="Times New Roman"/>
          <w:sz w:val="24"/>
          <w:szCs w:val="24"/>
          <w:lang w:val="sq-AL"/>
        </w:rPr>
        <w:t>, reformat ligjore dhe institucionale kanë forcuar kapacitetet e Drejtorisë Operacionale të PSH-së. Gjatë vitit 2021 janë përdorur masa të posaçme hetimore në 301 raste për hetime për pastrim parash. Shqipëria duhet të vazhdojë të përdorë dhe të zhvillojë përdorimin e teknikave speciale të hetimit dhe hetimeve proaktive.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Përgjigja e autoriteteve të zbatimit të ligjit ndaj krimit të organizuar, veçanërisht hetimi i rrjeteve të mëdha kriminale, duhet të jetë më proaktive dhe sistematike. Njësitë speciale brenda policisë dhe prokurorisë kanë akses në 40 regjistra kombëtarë, por ende u mungon qasja e drejtpërdrejtë në regjistrin elektronik të abonentëve të telefonisë celulare dhe adresat IP nga ofruesit e shërbimeve të internetit.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Reforma e planifikuar e Akademisë së Sigurisë për trajnimin e policisë nuk ka përparuar. Ndryshimet e shpeshta të kuadrit ligjor në një periudhë shumë të shkurtër kohore në vitin 2021 sugjerojnë se drejtimi i një reforme të tillë ende nuk është i qartë.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b/>
          <w:sz w:val="24"/>
          <w:szCs w:val="24"/>
          <w:lang w:val="sq-AL"/>
        </w:rPr>
        <w:t>Hetimet financiare</w:t>
      </w:r>
      <w:r w:rsidRPr="00A00FF4">
        <w:rPr>
          <w:rFonts w:ascii="Times New Roman" w:eastAsia="Calibri" w:hAnsi="Times New Roman" w:cs="Times New Roman"/>
          <w:sz w:val="24"/>
          <w:szCs w:val="24"/>
          <w:lang w:val="sq-AL"/>
        </w:rPr>
        <w:t xml:space="preserve"> nuk shoqërojnë në mënyrë sistematike procedurat penale që nga fillimi dhe efektiviteti i tyre mbetet i kufizuar</w:t>
      </w:r>
      <w:r w:rsidRPr="00F4283F">
        <w:rPr>
          <w:rFonts w:ascii="Times New Roman" w:eastAsia="Calibri" w:hAnsi="Times New Roman" w:cs="Times New Roman"/>
          <w:b/>
          <w:i/>
          <w:sz w:val="24"/>
          <w:szCs w:val="24"/>
          <w:lang w:val="sq-AL"/>
        </w:rPr>
        <w:t xml:space="preserve">. Teknikat e hetimit financiar të policisë dhe prokurorëve kanë ende nevojë për përmirësim. </w:t>
      </w:r>
      <w:r w:rsidRPr="00A00FF4">
        <w:rPr>
          <w:rFonts w:ascii="Times New Roman" w:eastAsia="Calibri" w:hAnsi="Times New Roman" w:cs="Times New Roman"/>
          <w:sz w:val="24"/>
          <w:szCs w:val="24"/>
          <w:lang w:val="sq-AL"/>
        </w:rPr>
        <w:t>Megjithatë, progresi në sekuestrimin e pasurive ishte i dukshëm në vitin 2021. Për vitin 2021, Shqipëria raportoi se rreth 50 milionë euro pasuri u sekuestruan bazuar në nenin 287 të Kodit Penal “pastrimi i produkteve të veprës penale të veprimtarisë kriminale” (krahasuar me 15 milionë euro në vitin 2020), dhe 21.5 milionë euro pasuri u sekuestruan në bazë të “ligjit antimafia” (por asnjë i konfiskuar), krahasuar me 4.8 milionë euro në vitin 2020, nga të cilat 150 000 ishin konfiskuar. Për 6-mujorin e parë të vitit 2022, në rastet e pastrimit të parave janë konfiskuar pasuri me vlerë rreth 178 000 euro. Për krimin e organizuar në vitin 2021, vlera e konfiskimeve të aseteve ishte e lartë në 28 milionë euro (vetëm 12 000 euro pasuri të konfiskuara), por konfiskimet u rritën në gjysmën e parë të 2022 me më shumë se 1.7 milionë euro pasuri të konfiskuara.</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Default="00E24640" w:rsidP="00E24640">
      <w:pPr>
        <w:spacing w:afterLines="160" w:after="384"/>
        <w:contextualSpacing/>
        <w:jc w:val="both"/>
        <w:rPr>
          <w:rFonts w:ascii="Times New Roman" w:eastAsia="Calibri" w:hAnsi="Times New Roman" w:cs="Times New Roman"/>
          <w:sz w:val="24"/>
          <w:szCs w:val="24"/>
          <w:lang w:val="sq-AL"/>
        </w:rPr>
      </w:pPr>
      <w:r w:rsidRPr="00F4283F">
        <w:rPr>
          <w:rFonts w:ascii="Times New Roman" w:eastAsia="Calibri" w:hAnsi="Times New Roman" w:cs="Times New Roman"/>
          <w:b/>
          <w:i/>
          <w:sz w:val="24"/>
          <w:szCs w:val="24"/>
          <w:lang w:val="sq-AL"/>
        </w:rPr>
        <w:t>Nuk ka qasje strategjike apo sistematike për identifikimin dhe konfiskimin e aseteve kriminale të vendosura jashtë vendit ose të paarritshme</w:t>
      </w:r>
      <w:r w:rsidRPr="00A00FF4">
        <w:rPr>
          <w:rFonts w:ascii="Times New Roman" w:eastAsia="Calibri" w:hAnsi="Times New Roman" w:cs="Times New Roman"/>
          <w:sz w:val="24"/>
          <w:szCs w:val="24"/>
          <w:lang w:val="sq-AL"/>
        </w:rPr>
        <w:t>. Përveç mjeteve për ngrirjen, menaxhimin dhe konfiskimin e aseteve kriminale sipas ligjit antimafia, Shqipëria duhet të miratojë dhe zbatojë rregulla për konfiskimin e zgjatur dhe ngrirjen paraprake të pasurive. Ajo duhet gjithashtu të përmirësojë urgjentisht kapacitetin e saj për të menaxhuar asetet e ngrira ose të konfiskuara në mënyrë që ato të mos humbasin vlerën ekonomike.</w:t>
      </w:r>
    </w:p>
    <w:p w:rsidR="00F4283F" w:rsidRPr="00A00FF4" w:rsidRDefault="00F4283F" w:rsidP="00E24640">
      <w:pPr>
        <w:spacing w:afterLines="160" w:after="384"/>
        <w:contextualSpacing/>
        <w:jc w:val="both"/>
        <w:rPr>
          <w:rFonts w:ascii="Times New Roman" w:eastAsia="Calibri" w:hAnsi="Times New Roman" w:cs="Times New Roman"/>
          <w:sz w:val="24"/>
          <w:szCs w:val="24"/>
          <w:lang w:val="sq-AL"/>
        </w:rPr>
      </w:pPr>
    </w:p>
    <w:p w:rsidR="00E24640" w:rsidRPr="00F4283F" w:rsidRDefault="00E24640" w:rsidP="00E24640">
      <w:pPr>
        <w:spacing w:afterLines="160" w:after="384"/>
        <w:contextualSpacing/>
        <w:jc w:val="both"/>
        <w:rPr>
          <w:rFonts w:ascii="Times New Roman" w:eastAsia="Calibri" w:hAnsi="Times New Roman" w:cs="Times New Roman"/>
          <w:b/>
          <w:i/>
          <w:sz w:val="24"/>
          <w:szCs w:val="24"/>
          <w:lang w:val="sq-AL"/>
        </w:rPr>
      </w:pPr>
      <w:r w:rsidRPr="00F4283F">
        <w:rPr>
          <w:rFonts w:ascii="Times New Roman" w:eastAsia="Calibri" w:hAnsi="Times New Roman" w:cs="Times New Roman"/>
          <w:b/>
          <w:color w:val="FF0000"/>
          <w:sz w:val="24"/>
          <w:szCs w:val="24"/>
          <w:lang w:val="sq-AL"/>
        </w:rPr>
        <w:t>Shqipëria vazhdon të jetë vend origjine, tranziti dhe destinacioni i</w:t>
      </w:r>
      <w:r w:rsidRPr="00F4283F">
        <w:rPr>
          <w:rFonts w:ascii="Times New Roman" w:eastAsia="Calibri" w:hAnsi="Times New Roman" w:cs="Times New Roman"/>
          <w:color w:val="FF0000"/>
          <w:sz w:val="24"/>
          <w:szCs w:val="24"/>
          <w:lang w:val="sq-AL"/>
        </w:rPr>
        <w:t xml:space="preserve"> </w:t>
      </w:r>
      <w:r w:rsidRPr="00F4283F">
        <w:rPr>
          <w:rFonts w:ascii="Times New Roman" w:eastAsia="Calibri" w:hAnsi="Times New Roman" w:cs="Times New Roman"/>
          <w:b/>
          <w:color w:val="FF0000"/>
          <w:sz w:val="24"/>
          <w:szCs w:val="24"/>
          <w:lang w:val="sq-AL"/>
        </w:rPr>
        <w:t>trafikimit të qenieve njerëzore</w:t>
      </w:r>
      <w:r w:rsidRPr="00A00FF4">
        <w:rPr>
          <w:rFonts w:ascii="Times New Roman" w:eastAsia="Calibri" w:hAnsi="Times New Roman" w:cs="Times New Roman"/>
          <w:sz w:val="24"/>
          <w:szCs w:val="24"/>
          <w:lang w:val="sq-AL"/>
        </w:rPr>
        <w:t xml:space="preserve">, por numri i viktimave të trafikimit me origjinë shqiptare është ulur ndjeshëm në periudhën 2020-2021. Gratë dhe fëmijët shqiptarë janë subjekt i trafikimit për shfrytëzim seksual, punë të detyruar dhe shfrytëzim kriminal në vendet fqinje dhe shtetet anëtare të BE-së. Ka indikacione për rritje të trafikimit të grave dhe fëmijëve për shfrytëzim seksual dhe lypje në Shqipëri. Fëmijët e vendosur në institucione dhe fëmijët nga komuniteti rom dhe egjiptian janë veçanërisht të cenueshëm ndaj trafikimit. Prokuroria regjistroi 10 procedime të reja penale për trafikim të qenieve njerëzore në vitin 2021, krahasuar me 28 në vitin 2020. </w:t>
      </w:r>
      <w:r w:rsidRPr="00F4283F">
        <w:rPr>
          <w:rFonts w:ascii="Times New Roman" w:eastAsia="Calibri" w:hAnsi="Times New Roman" w:cs="Times New Roman"/>
          <w:b/>
          <w:color w:val="FF0000"/>
          <w:sz w:val="24"/>
          <w:szCs w:val="24"/>
          <w:lang w:val="sq-AL"/>
        </w:rPr>
        <w:t>Numri i dënimeve të formës së prerë ka mbetur shumë i ulët me dy raste me tre dënime të formës së prerë, njësoj si në vitin 2020</w:t>
      </w:r>
      <w:r w:rsidRPr="00A00FF4">
        <w:rPr>
          <w:rFonts w:ascii="Times New Roman" w:eastAsia="Calibri" w:hAnsi="Times New Roman" w:cs="Times New Roman"/>
          <w:sz w:val="24"/>
          <w:szCs w:val="24"/>
          <w:lang w:val="sq-AL"/>
        </w:rPr>
        <w:t xml:space="preserve">. Mekanizmi kombëtar i referimit për (të mundshëm ) viktimat e trafikimit mbetën funksionale. Ndihma është ofruar në të gjitha rastet. Në vitin 2021 u identifikuan dhe u ndihmuan 159 viktima ose viktima të mundshme, krahasuar me 86 në 2020. </w:t>
      </w:r>
      <w:r w:rsidRPr="00F4283F">
        <w:rPr>
          <w:rFonts w:ascii="Times New Roman" w:eastAsia="Calibri" w:hAnsi="Times New Roman" w:cs="Times New Roman"/>
          <w:b/>
          <w:i/>
          <w:sz w:val="24"/>
          <w:szCs w:val="24"/>
          <w:lang w:val="sq-AL"/>
        </w:rPr>
        <w:t>Identifikimi i viktimave të mundshme mbetet i pamjaftueshëm brenda territorit shqiptar, edhe në mesin e migrantëve vulnerabël që hyjnë në Shqipëri.</w:t>
      </w:r>
      <w:r w:rsidRPr="00A00FF4">
        <w:rPr>
          <w:rFonts w:ascii="Times New Roman" w:eastAsia="Calibri" w:hAnsi="Times New Roman" w:cs="Times New Roman"/>
          <w:sz w:val="24"/>
          <w:szCs w:val="24"/>
          <w:lang w:val="sq-AL"/>
        </w:rPr>
        <w:t xml:space="preserve"> Plani kombëtar i veprimit kundër trafikimit të personave 2021–2023 u miratua në nëntor 2021 si pjesë e Strategjisë Kombëtare kundër Krimit të Organizuar 2021-2025. Zbatimi i tij duhet të mbështetet nga financimi adekuat. </w:t>
      </w:r>
      <w:r w:rsidRPr="00F4283F">
        <w:rPr>
          <w:rFonts w:ascii="Times New Roman" w:eastAsia="Calibri" w:hAnsi="Times New Roman" w:cs="Times New Roman"/>
          <w:b/>
          <w:i/>
          <w:sz w:val="24"/>
          <w:szCs w:val="24"/>
          <w:lang w:val="sq-AL"/>
        </w:rPr>
        <w:t>Strehëzat e drejtuara nga OJQ-të mbeten të pafinancuara. Hetimet dhe ndjekjet penale me në qendër viktimat nuk kryhen në mënyrë konsistente. Përpjekjet kundër trafikimit duhet të rriten, veçanërisht duke forcuar sistemin e mbrojtjes së fëmijëve. Riintegrimi i suksesshëm mbetet i vështirë sepse mbrojtja bazë, kujdesi dhe shërbimet sociale nga shteti janë të pamjaftueshme. Përpjekjet parandaluese, veçanërisht për komunikimin strategjik, duhet të rriten.</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F4283F">
        <w:rPr>
          <w:rFonts w:ascii="Times New Roman" w:eastAsia="Calibri" w:hAnsi="Times New Roman" w:cs="Times New Roman"/>
          <w:b/>
          <w:i/>
          <w:sz w:val="24"/>
          <w:szCs w:val="24"/>
          <w:lang w:val="sq-AL"/>
        </w:rPr>
        <w:t>Fushata të dedikuara për rritjen e ndërgjegjësimit duhet të zhvillohen për të synuar komunitetet në rrezik të trafikimit të qenieve njerëzore. Duhet të funksionojë linja telefonike 116 006 për viktimat e trafikimit. Korniza e përmirësuar legjislative për viktimat, duke përfshirë ndryshimet në Kodin e Procedurës Penale, ende nuk është zbatuar. Policia, prokurorët dhe gjyqtarët duhet të marrin trajnim të dedikuar për këto ndryshime dhe të drejtat e viktimave</w:t>
      </w:r>
      <w:r w:rsidRPr="00A00FF4">
        <w:rPr>
          <w:rFonts w:ascii="Times New Roman" w:eastAsia="Calibri" w:hAnsi="Times New Roman" w:cs="Times New Roman"/>
          <w:sz w:val="24"/>
          <w:szCs w:val="24"/>
          <w:lang w:val="sq-AL"/>
        </w:rPr>
        <w: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F4283F"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Sa i përket </w:t>
      </w:r>
      <w:r w:rsidRPr="00A00FF4">
        <w:rPr>
          <w:rFonts w:ascii="Times New Roman" w:eastAsia="Calibri" w:hAnsi="Times New Roman" w:cs="Times New Roman"/>
          <w:b/>
          <w:sz w:val="24"/>
          <w:szCs w:val="24"/>
          <w:lang w:val="sq-AL"/>
        </w:rPr>
        <w:t>trafikut të armëve</w:t>
      </w:r>
      <w:r w:rsidRPr="00A00FF4">
        <w:rPr>
          <w:rFonts w:ascii="Times New Roman" w:eastAsia="Calibri" w:hAnsi="Times New Roman" w:cs="Times New Roman"/>
          <w:sz w:val="24"/>
          <w:szCs w:val="24"/>
          <w:lang w:val="sq-AL"/>
        </w:rPr>
        <w:t xml:space="preserve"> të zjarrit, në Shqipëri disponohen një numër i madh armësh zjarri. Këto përdoren dhe trafikohen nga grupet kriminale shqiptare, kryesisht në vendet fqinje. Shqipëria është një destinacion dhe një vend tranzit për </w:t>
      </w:r>
      <w:r w:rsidRPr="00F4283F">
        <w:rPr>
          <w:rFonts w:ascii="Times New Roman" w:eastAsia="Calibri" w:hAnsi="Times New Roman" w:cs="Times New Roman"/>
          <w:sz w:val="24"/>
          <w:szCs w:val="24"/>
          <w:lang w:val="sq-AL"/>
        </w:rPr>
        <w:t xml:space="preserve">armët e </w:t>
      </w:r>
      <w:r w:rsidR="00F4283F">
        <w:rPr>
          <w:rFonts w:ascii="Times New Roman" w:eastAsia="Calibri" w:hAnsi="Times New Roman" w:cs="Times New Roman"/>
          <w:sz w:val="24"/>
          <w:szCs w:val="24"/>
          <w:lang w:val="sq-AL"/>
        </w:rPr>
        <w:t>vogla</w:t>
      </w:r>
      <w:r w:rsidRPr="00F4283F">
        <w:rPr>
          <w:rFonts w:ascii="Times New Roman" w:eastAsia="Calibri" w:hAnsi="Times New Roman" w:cs="Times New Roman"/>
          <w:sz w:val="24"/>
          <w:szCs w:val="24"/>
          <w:lang w:val="sq-AL"/>
        </w:rPr>
        <w:t xml:space="preserve"> të zjarrit</w:t>
      </w:r>
      <w:r w:rsidRPr="00A00FF4">
        <w:rPr>
          <w:rFonts w:ascii="Times New Roman" w:eastAsia="Calibri" w:hAnsi="Times New Roman" w:cs="Times New Roman"/>
          <w:sz w:val="24"/>
          <w:szCs w:val="24"/>
          <w:lang w:val="sq-AL"/>
        </w:rPr>
        <w:t xml:space="preserve">. Në Prokurori janë regjistruar 39 raste të reja penale në vitin 2021, krahasuar me 7 në 2020 dhe 17 persona me dënime përfundimtare në 2021, nivel i ngjashëm me vitin 2020. Ka pasur një numër dukshëm më të lartë të sekuestrimeve në brendësi të vendit krahasuar me ato në kufi. </w:t>
      </w:r>
      <w:r w:rsidRPr="00F4283F">
        <w:rPr>
          <w:rFonts w:ascii="Times New Roman" w:eastAsia="Calibri" w:hAnsi="Times New Roman" w:cs="Times New Roman"/>
          <w:b/>
          <w:i/>
          <w:sz w:val="24"/>
          <w:szCs w:val="24"/>
          <w:lang w:val="sq-AL"/>
        </w:rPr>
        <w:t>Shkëmbimi i informacionit ndërmjet aktorëve të ndryshëm kombëtarë (agjencitë e zbatimit të ligjit, prokuroria dhe sistemi gjyqësor) është ende i ulët, gjë që rrezikon qartë marrjen e të dhënave të unifikuara nga policia dhe prokuroria.</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F4283F"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Rekordet në luftën </w:t>
      </w:r>
      <w:r w:rsidRPr="00A00FF4">
        <w:rPr>
          <w:rFonts w:ascii="Times New Roman" w:eastAsia="Calibri" w:hAnsi="Times New Roman" w:cs="Times New Roman"/>
          <w:b/>
          <w:sz w:val="24"/>
          <w:szCs w:val="24"/>
          <w:lang w:val="sq-AL"/>
        </w:rPr>
        <w:t>kundër krimit kibernetik dhe mashtrimit në internet</w:t>
      </w:r>
      <w:r w:rsidRPr="00A00FF4">
        <w:rPr>
          <w:rFonts w:ascii="Times New Roman" w:eastAsia="Calibri" w:hAnsi="Times New Roman" w:cs="Times New Roman"/>
          <w:sz w:val="24"/>
          <w:szCs w:val="24"/>
          <w:lang w:val="sq-AL"/>
        </w:rPr>
        <w:t xml:space="preserve"> në vitin 2021 mbetet i kufizuar me 79 raste të referuara në Prokurori krahasuar me 56 në 2020 me dënim të formës së prerë, njësoj si në vitin 2020. </w:t>
      </w:r>
      <w:r w:rsidRPr="00F4283F">
        <w:rPr>
          <w:rFonts w:ascii="Times New Roman" w:eastAsia="Calibri" w:hAnsi="Times New Roman" w:cs="Times New Roman"/>
          <w:b/>
          <w:i/>
          <w:sz w:val="24"/>
          <w:szCs w:val="24"/>
          <w:lang w:val="sq-AL"/>
        </w:rPr>
        <w:t xml:space="preserve">Shqipëria duhet të krijojë një reagim më efektiv të zbatimit të ligjit duke u fokusuar në zbulimin. gjurmueshmëria dhe ndjekja penale e kriminelëve kibernetikë. </w:t>
      </w:r>
      <w:r w:rsidRPr="00F4283F">
        <w:rPr>
          <w:rFonts w:ascii="Times New Roman" w:eastAsia="Calibri" w:hAnsi="Times New Roman" w:cs="Times New Roman"/>
          <w:b/>
          <w:i/>
          <w:sz w:val="24"/>
          <w:szCs w:val="24"/>
          <w:lang w:val="sq-AL"/>
        </w:rPr>
        <w:lastRenderedPageBreak/>
        <w:t>Shqipëria duhet të rrisë ndërgjegjësimin e prokurorëve për të rritur përdorimin e rrjetit të pikave të kontaktit 24/7, të krijuar nga Konventa e Këshillit të Evropës për krimin kibernetik.</w:t>
      </w:r>
      <w:r w:rsidRPr="00A00FF4">
        <w:rPr>
          <w:rFonts w:ascii="Times New Roman" w:eastAsia="Calibri" w:hAnsi="Times New Roman" w:cs="Times New Roman"/>
          <w:sz w:val="24"/>
          <w:szCs w:val="24"/>
          <w:lang w:val="sq-AL"/>
        </w:rPr>
        <w:t xml:space="preserve"> Njësia e Krimeve Kibernetike të PSHSH-së ka një laborator qendror të mjekësisë ligjore, por duhet të rrisë kapacitetet e saj për t'u marrë me raste të tilla. </w:t>
      </w:r>
      <w:r w:rsidRPr="00F4283F">
        <w:rPr>
          <w:rFonts w:ascii="Times New Roman" w:eastAsia="Calibri" w:hAnsi="Times New Roman" w:cs="Times New Roman"/>
          <w:b/>
          <w:i/>
          <w:sz w:val="24"/>
          <w:szCs w:val="24"/>
          <w:lang w:val="sq-AL"/>
        </w:rPr>
        <w:t>Duhet të forcohen kapacitetet për hetimin dhe ndjekjen penale të krimeve kundër fëmijëve të kryera përmes internetit. Mbeten për t'u miratuar ndryshimet legjislative për të kriminalizuar të gjitha format e abuzimit seksual të fëmijëve në internet.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F4283F">
        <w:rPr>
          <w:rFonts w:ascii="Times New Roman" w:eastAsia="Calibri" w:hAnsi="Times New Roman" w:cs="Times New Roman"/>
          <w:b/>
          <w:i/>
          <w:sz w:val="24"/>
          <w:szCs w:val="24"/>
          <w:lang w:val="sq-AL"/>
        </w:rPr>
        <w:t>Shqipëria ka një sektor të madh informal dhe ekonomia e saj bazohet kryesisht në para në dorë.</w:t>
      </w:r>
      <w:r w:rsidRPr="00A00FF4">
        <w:rPr>
          <w:rFonts w:ascii="Times New Roman" w:eastAsia="Calibri" w:hAnsi="Times New Roman" w:cs="Times New Roman"/>
          <w:sz w:val="24"/>
          <w:szCs w:val="24"/>
          <w:lang w:val="sq-AL"/>
        </w:rPr>
        <w:t xml:space="preserve"> </w:t>
      </w:r>
      <w:r w:rsidRPr="00F4283F">
        <w:rPr>
          <w:rFonts w:ascii="Times New Roman" w:eastAsia="Calibri" w:hAnsi="Times New Roman" w:cs="Times New Roman"/>
          <w:b/>
          <w:sz w:val="24"/>
          <w:szCs w:val="24"/>
          <w:lang w:val="sq-AL"/>
        </w:rPr>
        <w:t>Krimet që gjenerojnë shuma të mëdha parash përfshijnë trafikun e drogës, evazionin fiskal, kontrabandën dhe trafikimin e qenieve njerëzore.</w:t>
      </w:r>
      <w:r w:rsidRPr="00A00FF4">
        <w:rPr>
          <w:rFonts w:ascii="Times New Roman" w:eastAsia="Calibri" w:hAnsi="Times New Roman" w:cs="Times New Roman"/>
          <w:sz w:val="24"/>
          <w:szCs w:val="24"/>
          <w:lang w:val="sq-AL"/>
        </w:rPr>
        <w:t xml:space="preserve"> Për sa i përket </w:t>
      </w:r>
      <w:r w:rsidRPr="00A00FF4">
        <w:rPr>
          <w:rFonts w:ascii="Times New Roman" w:eastAsia="Calibri" w:hAnsi="Times New Roman" w:cs="Times New Roman"/>
          <w:b/>
          <w:sz w:val="24"/>
          <w:szCs w:val="24"/>
          <w:lang w:val="sq-AL"/>
        </w:rPr>
        <w:t>pastrimit të parave</w:t>
      </w:r>
      <w:r w:rsidRPr="00A00FF4">
        <w:rPr>
          <w:rFonts w:ascii="Times New Roman" w:eastAsia="Calibri" w:hAnsi="Times New Roman" w:cs="Times New Roman"/>
          <w:sz w:val="24"/>
          <w:szCs w:val="24"/>
          <w:lang w:val="sq-AL"/>
        </w:rPr>
        <w:t>, Shqipëria është në juridiksionin e Task Forcës së Veprimit Financiar (</w:t>
      </w:r>
      <w:r w:rsidR="00F4283F">
        <w:rPr>
          <w:rFonts w:ascii="Times New Roman" w:eastAsia="Calibri" w:hAnsi="Times New Roman" w:cs="Times New Roman"/>
          <w:sz w:val="24"/>
          <w:szCs w:val="24"/>
          <w:lang w:val="sq-AL"/>
        </w:rPr>
        <w:t>FATF</w:t>
      </w:r>
      <w:r w:rsidRPr="00A00FF4">
        <w:rPr>
          <w:rFonts w:ascii="Times New Roman" w:eastAsia="Calibri" w:hAnsi="Times New Roman" w:cs="Times New Roman"/>
          <w:sz w:val="24"/>
          <w:szCs w:val="24"/>
          <w:lang w:val="sq-AL"/>
        </w:rPr>
        <w:t>) nën monitorim të shtuar që nga shkurti 2020 dhe megjithë progresin e dukshëm, nuk ka përfunduar zbatimin e Planit të Veprimit të deri në Shkurtit 2022. Ndryshimet në ligjin kundër pastrimit të parave që synojnë përafrimin me direktiven e katërt dhe të pestë të BE-së kundër pastrimit të parave u miratuan në Parlament në Dhjetor 2021. Si regjistri i centralizuar i llogarive bankare, ashtu edhe regjistri i pronësisë përfituese janë tashm</w:t>
      </w:r>
      <w:r w:rsidR="00F4283F">
        <w:rPr>
          <w:rFonts w:ascii="Times New Roman" w:eastAsia="Calibri" w:hAnsi="Times New Roman" w:cs="Times New Roman"/>
          <w:sz w:val="24"/>
          <w:szCs w:val="24"/>
          <w:lang w:val="sq-AL"/>
        </w:rPr>
        <w:t>ë në fuqi. Regjistri i pronareve</w:t>
      </w:r>
      <w:r w:rsidRPr="00A00FF4">
        <w:rPr>
          <w:rFonts w:ascii="Times New Roman" w:eastAsia="Calibri" w:hAnsi="Times New Roman" w:cs="Times New Roman"/>
          <w:sz w:val="24"/>
          <w:szCs w:val="24"/>
          <w:lang w:val="sq-AL"/>
        </w:rPr>
        <w:t xml:space="preserve"> përfituese tani është populluar kryesisht, </w:t>
      </w:r>
      <w:r w:rsidRPr="00F4283F">
        <w:rPr>
          <w:rFonts w:ascii="Times New Roman" w:eastAsia="Calibri" w:hAnsi="Times New Roman" w:cs="Times New Roman"/>
          <w:b/>
          <w:i/>
          <w:sz w:val="24"/>
          <w:szCs w:val="24"/>
          <w:lang w:val="sq-AL"/>
        </w:rPr>
        <w:t>por ende nuk janë vendosur sanksione ndaj personave juridikë të paregjistruar</w:t>
      </w:r>
      <w:r w:rsidRPr="00A00FF4">
        <w:rPr>
          <w:rFonts w:ascii="Times New Roman" w:eastAsia="Calibri" w:hAnsi="Times New Roman" w:cs="Times New Roman"/>
          <w:sz w:val="24"/>
          <w:szCs w:val="24"/>
          <w:lang w:val="sq-AL"/>
        </w:rPr>
        <w:t>. Në janar 2022 u miratuan ndryshimet në ligjin për noterët dhe ligji i ri për mbikëqyrjen e agjentëve të pasurive të paluajtshme, si dhe aktet e nevojshme nënligjore. Në korrik 2021, Prokuroria e Përgjithshme prezantoi një regjistër elektronik të dedikuar “PRESTO” për të siguruar gjurmimin e të gjitha rasteve të pastrimit të parave me synimin për të rritur efektivitetin në sekuestrimin dhe konfiskimin e produkteve kriminale.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i/>
          <w:sz w:val="24"/>
          <w:szCs w:val="24"/>
          <w:lang w:val="sq-AL"/>
        </w:rPr>
      </w:pPr>
      <w:r w:rsidRPr="00A00FF4">
        <w:rPr>
          <w:rFonts w:ascii="Times New Roman" w:eastAsia="Calibri" w:hAnsi="Times New Roman" w:cs="Times New Roman"/>
          <w:sz w:val="24"/>
          <w:szCs w:val="24"/>
          <w:lang w:val="sq-AL"/>
        </w:rPr>
        <w:t xml:space="preserve">Miratimi i një amnistie tatimore dhe penale në kundërshtim me këshillat e BE-së dhe Moneyval-it mund të rrezikojë progresin në këtë fushë – </w:t>
      </w:r>
      <w:r w:rsidRPr="00A00FF4">
        <w:rPr>
          <w:rFonts w:ascii="Times New Roman" w:eastAsia="Calibri" w:hAnsi="Times New Roman" w:cs="Times New Roman"/>
          <w:i/>
          <w:sz w:val="24"/>
          <w:szCs w:val="24"/>
          <w:lang w:val="sq-AL"/>
        </w:rPr>
        <w:t>shih gjithashtu kapitullin 4 – Lëvizja e lirë e kapitalit dhe 16 – Tatimet.</w:t>
      </w:r>
    </w:p>
    <w:p w:rsidR="00E24640" w:rsidRPr="00A00FF4" w:rsidRDefault="00E24640" w:rsidP="00E24640">
      <w:pPr>
        <w:spacing w:afterLines="160" w:after="384"/>
        <w:contextualSpacing/>
        <w:jc w:val="both"/>
        <w:rPr>
          <w:rFonts w:ascii="Times New Roman" w:eastAsia="Calibri" w:hAnsi="Times New Roman" w:cs="Times New Roman"/>
          <w:i/>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Në vitin 2021, 317 raste të pastrimit të parave u referuan në prokurori, kundrejt 280 në vitin 2020. Pavarësisht kësaj rritjeje, historiku i personave me dënime të formës së prerë për pastrim parash mbetet pothuajse inekzistent (katër në 2020 dhe vetëm një në 2021).</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Programi i mbrojtjes së dëshmitarëve të PSHSH-së ka funksionuar në mënyrë të kënaqshme. Në vitin 2021 janë kryer 24 operacione për mbrojtjen e dëshmitarëve, krahasuar me 19 në vitin 2020.</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r w:rsidRPr="00A00FF4">
        <w:rPr>
          <w:rFonts w:ascii="Times New Roman" w:eastAsia="Calibri" w:hAnsi="Times New Roman" w:cs="Times New Roman"/>
          <w:b/>
          <w:sz w:val="24"/>
          <w:szCs w:val="24"/>
          <w:lang w:val="sq-AL"/>
        </w:rPr>
        <w:t>Bashkëpunimi në fushën e drogës</w:t>
      </w: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Organizimi institucional dhe harmonizimi ligjor</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Ministria e Brendshme dhe Ministria e Shëndetësisë dhe Mbrojtjes Sociale/Instituti i Shëndetit Publik janë përkatësisht organet drejtuese në luftën kundër trafikut të drogës dhe abuzimit me drogën. </w:t>
      </w:r>
      <w:r w:rsidRPr="00AE6A0F">
        <w:rPr>
          <w:rFonts w:ascii="Times New Roman" w:eastAsia="Calibri" w:hAnsi="Times New Roman" w:cs="Times New Roman"/>
          <w:i/>
          <w:color w:val="FF0000"/>
          <w:sz w:val="24"/>
          <w:szCs w:val="24"/>
          <w:lang w:val="sq-AL"/>
        </w:rPr>
        <w:t xml:space="preserve">Shqipëria nuk ka një strategji kombëtare specifike për drogën. </w:t>
      </w:r>
      <w:r w:rsidRPr="00A00FF4">
        <w:rPr>
          <w:rFonts w:ascii="Times New Roman" w:eastAsia="Calibri" w:hAnsi="Times New Roman" w:cs="Times New Roman"/>
          <w:sz w:val="24"/>
          <w:szCs w:val="24"/>
          <w:lang w:val="sq-AL"/>
        </w:rPr>
        <w:t xml:space="preserve">Strategjia kundër krimit të organizuar e miratuar në Dhjetor 2020 parashikon përmirësimin e legjislacionit për substancat </w:t>
      </w:r>
      <w:r w:rsidRPr="00A00FF4">
        <w:rPr>
          <w:rFonts w:ascii="Times New Roman" w:eastAsia="Calibri" w:hAnsi="Times New Roman" w:cs="Times New Roman"/>
          <w:sz w:val="24"/>
          <w:szCs w:val="24"/>
          <w:lang w:val="sq-AL"/>
        </w:rPr>
        <w:lastRenderedPageBreak/>
        <w:t xml:space="preserve">psikoaktive dhe prekursorët dhe përditësimin e listës së substancave psikoaktive të ndaluara. Krijimi i Qendrës Kombëtare të Informacionit për Drogën (Observatori Kombëtar i drogës) është vonuar. </w:t>
      </w:r>
      <w:r w:rsidRPr="00AE6A0F">
        <w:rPr>
          <w:rFonts w:ascii="Times New Roman" w:eastAsia="Calibri" w:hAnsi="Times New Roman" w:cs="Times New Roman"/>
          <w:b/>
          <w:i/>
          <w:sz w:val="24"/>
          <w:szCs w:val="24"/>
          <w:lang w:val="sq-AL"/>
        </w:rPr>
        <w:t>Shqipëria nuk ka krijuar ende një sistem kombëtar të paralajmërimit të hershëm për shkëmbimin e informacionit për substancat e reja psikoaktive.</w:t>
      </w:r>
      <w:r w:rsidRPr="00A00FF4">
        <w:rPr>
          <w:rFonts w:ascii="Times New Roman" w:eastAsia="Calibri" w:hAnsi="Times New Roman" w:cs="Times New Roman"/>
          <w:sz w:val="24"/>
          <w:szCs w:val="24"/>
          <w:lang w:val="sq-AL"/>
        </w:rPr>
        <w:t xml:space="preserve"> Filluan konsultimet për ngritjen e Sistemit të Paralajmërimit të Hershëm dhe përditësimin e legjislacionit në lidhje me substancat psikoaktive dhe prekursorët. Shqipëria vazhdon të zbatojë marrëveshjen e punës me Qendrën Evropiane të Monitorimit për Drogën dhe Varësinë nga Drogat (EMCDDA) dhe bën përpjekje për të rritur kapacitetin e saj raportues për çështjet e lidhura me drogën në përputhje me udhëzimet/protokollet e EMCDDA </w:t>
      </w:r>
      <w:r w:rsidRPr="00AE6A0F">
        <w:rPr>
          <w:rFonts w:ascii="Times New Roman" w:eastAsia="Calibri" w:hAnsi="Times New Roman" w:cs="Times New Roman"/>
          <w:b/>
          <w:i/>
          <w:sz w:val="24"/>
          <w:szCs w:val="24"/>
          <w:lang w:val="sq-AL"/>
        </w:rPr>
        <w:t>dhe ka nevojë për burime të mjaftueshme për këtë detyrë</w:t>
      </w:r>
      <w:r w:rsidRPr="00A00FF4">
        <w:rPr>
          <w:rFonts w:ascii="Times New Roman" w:eastAsia="Calibri" w:hAnsi="Times New Roman" w:cs="Times New Roman"/>
          <w:sz w:val="24"/>
          <w:szCs w:val="24"/>
          <w:lang w:val="sq-AL"/>
        </w:rPr>
        <w:t>. Në kuadër të Strategjisë Kundër Krimit të Organizuar 2021-2025, Policia e Shtetit Shqiptar miratoi në Janar 2022 një Plan Veprimi për vitin 2022 për “Parandalimin dhe goditjen e veprimtarisë kriminale të kultivimit të bimëve narkotike”.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Kapaciteti zbatues dhe zbatues</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Trafikimi i drogës është forma më e zakonshme e veprës penale të rëndë në Shqipëri dhe numri i rasteve të identifikuara ka vazhduar të rritet. Në vitin 2021, policia identifikoi 3 168 vepra penale në lidhje me kultivimin, prodhimin, shitjen dhe trafikimin e lëndëve narkotike krahasuar me 2 086 në vitin 2020, ku përfshiheshin 3 927 aut</w:t>
      </w:r>
      <w:r w:rsidR="00AE6A0F">
        <w:rPr>
          <w:rFonts w:ascii="Times New Roman" w:eastAsia="Calibri" w:hAnsi="Times New Roman" w:cs="Times New Roman"/>
          <w:sz w:val="24"/>
          <w:szCs w:val="24"/>
          <w:lang w:val="sq-AL"/>
        </w:rPr>
        <w:t xml:space="preserve">orë të dyshuar (3 205 në 2020). </w:t>
      </w:r>
      <w:r w:rsidRPr="00A00FF4">
        <w:rPr>
          <w:rFonts w:ascii="Times New Roman" w:eastAsia="Calibri" w:hAnsi="Times New Roman" w:cs="Times New Roman"/>
          <w:sz w:val="24"/>
          <w:szCs w:val="24"/>
          <w:lang w:val="sq-AL"/>
        </w:rPr>
        <w:t>Autoritetet e zbatimit të ligjit në Shqipëri kanë mbajtur një nivel të mirë bashkëpunimi me homologët e tyre në shtetet anëtare të BE-së për të luftuar trafikimin e narkotikëve. Gjatë vitit 2021 janë zhvilluar 212 operacione policore në fushën e narkotikëve, nga të cilat 78 kanë pasur bashkëpunimin e partnerëve ndërkombëtarë të Shqipërisë.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i/>
          <w:sz w:val="24"/>
          <w:szCs w:val="24"/>
          <w:lang w:val="sq-AL"/>
        </w:rPr>
      </w:pPr>
      <w:r w:rsidRPr="00A00FF4">
        <w:rPr>
          <w:rFonts w:ascii="Times New Roman" w:eastAsia="Calibri" w:hAnsi="Times New Roman" w:cs="Times New Roman"/>
          <w:i/>
          <w:sz w:val="24"/>
          <w:szCs w:val="24"/>
          <w:lang w:val="sq-AL"/>
        </w:rPr>
        <w:t>Operacionet e Policisë së Shtetit</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E6A0F" w:rsidRDefault="00E24640" w:rsidP="00E24640">
      <w:pPr>
        <w:spacing w:afterLines="160" w:after="384"/>
        <w:contextualSpacing/>
        <w:jc w:val="both"/>
        <w:rPr>
          <w:rFonts w:ascii="Times New Roman" w:eastAsia="Calibri" w:hAnsi="Times New Roman" w:cs="Times New Roman"/>
          <w:b/>
          <w:color w:val="FF0000"/>
          <w:sz w:val="24"/>
          <w:szCs w:val="24"/>
          <w:lang w:val="sq-AL"/>
        </w:rPr>
      </w:pPr>
      <w:r w:rsidRPr="00A00FF4">
        <w:rPr>
          <w:rFonts w:ascii="Times New Roman" w:eastAsia="Calibri" w:hAnsi="Times New Roman" w:cs="Times New Roman"/>
          <w:sz w:val="24"/>
          <w:szCs w:val="24"/>
          <w:lang w:val="sq-AL"/>
        </w:rPr>
        <w:t xml:space="preserve">Shqipëria mbetet i vetmi vend në rajon që lejon monitorimin nga një vend tjetër: që nga viti 2013, Ministria e Ekonomisë </w:t>
      </w:r>
      <w:r w:rsidRPr="00AE6A0F">
        <w:rPr>
          <w:rFonts w:ascii="Times New Roman" w:eastAsia="Calibri" w:hAnsi="Times New Roman" w:cs="Times New Roman"/>
          <w:sz w:val="24"/>
          <w:szCs w:val="24"/>
          <w:lang w:val="sq-AL"/>
        </w:rPr>
        <w:t xml:space="preserve">dhe </w:t>
      </w:r>
      <w:r w:rsidRPr="00A00FF4">
        <w:rPr>
          <w:rFonts w:ascii="Times New Roman" w:eastAsia="Calibri" w:hAnsi="Times New Roman" w:cs="Times New Roman"/>
          <w:sz w:val="24"/>
          <w:szCs w:val="24"/>
          <w:lang w:val="sq-AL"/>
        </w:rPr>
        <w:t xml:space="preserve">(Guardia di Finanza) ka kryer sondazhe ajrore për zbulimin e plantacioneve të kanabisit në Shqipëri. 70 misione fluturimi u operuan nga Guarda di Finanza në vitin 2021, duke vëzhguar 6.5 milionë km2 dhe duke lejuar gjetjen dhe shkatërrimin e 92 500 bimëve, që përfaqëson rreth 35% rritje krahasuar me vitin 2020. Përveç kësaj, agjensia vazhdoi monitorimin me dronë. Sasia e kanabisit të sekuestruar në Shqipëri vazhdoi të bjerë, nga rreth 4.3 ton në vitin 2020 në 3.6 ton në vitin 2021. </w:t>
      </w:r>
      <w:r w:rsidRPr="00AE6A0F">
        <w:rPr>
          <w:rFonts w:ascii="Times New Roman" w:eastAsia="Calibri" w:hAnsi="Times New Roman" w:cs="Times New Roman"/>
          <w:b/>
          <w:color w:val="FF0000"/>
          <w:sz w:val="24"/>
          <w:szCs w:val="24"/>
          <w:lang w:val="sq-AL"/>
        </w:rPr>
        <w:t>Megjithatë, numri i bimëve të kanabisit të sekuestruara u rrit nga 137 000 në 166 000 midis 2020 dhe 2021.</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Të gjitha drogat e tjera panë një rritje të sasive të sekuestruara në vitin 2021 krahasuar me vitin 2020: nga 1 kg në 208 kg hashash, nga 51 kg në 8 1 kg heroinë dhe nga 6 kg në 725 kg kokainë.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E6A0F" w:rsidRDefault="00E24640" w:rsidP="00E24640">
      <w:pPr>
        <w:spacing w:afterLines="160" w:after="384"/>
        <w:contextualSpacing/>
        <w:jc w:val="both"/>
        <w:rPr>
          <w:rFonts w:ascii="Times New Roman" w:eastAsia="Calibri" w:hAnsi="Times New Roman" w:cs="Times New Roman"/>
          <w:b/>
          <w:i/>
          <w:sz w:val="24"/>
          <w:szCs w:val="24"/>
          <w:lang w:val="sq-AL"/>
        </w:rPr>
      </w:pPr>
      <w:r w:rsidRPr="00AE6A0F">
        <w:rPr>
          <w:rFonts w:ascii="Times New Roman" w:eastAsia="Calibri" w:hAnsi="Times New Roman" w:cs="Times New Roman"/>
          <w:b/>
          <w:i/>
          <w:sz w:val="24"/>
          <w:szCs w:val="24"/>
          <w:lang w:val="sq-AL"/>
        </w:rPr>
        <w:t>Mungesa e ruajtjes së sigurt për drograt dhe prekursorët e drogës para shkatërrimit mbetet një çështje shqetësuese. Praktika e mbajtjes vetëm të një kampioni të vogël si provë materiale për procedurat gjyqësore (në vend të të gjithë sasisë së sekuestruar) nuk është vendosur ende. Shqipëria duhet të krijojë bazën ligjore për një proces të përshtatshëm për asgjësimin e prekursorëve.</w:t>
      </w:r>
    </w:p>
    <w:p w:rsidR="00E24640" w:rsidRPr="00AE6A0F" w:rsidRDefault="00E24640" w:rsidP="00E24640">
      <w:pPr>
        <w:spacing w:afterLines="160" w:after="384"/>
        <w:contextualSpacing/>
        <w:jc w:val="both"/>
        <w:rPr>
          <w:rFonts w:ascii="Times New Roman" w:eastAsia="Calibri" w:hAnsi="Times New Roman" w:cs="Times New Roman"/>
          <w:b/>
          <w:i/>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r w:rsidRPr="00A00FF4">
        <w:rPr>
          <w:rFonts w:ascii="Times New Roman" w:eastAsia="Calibri" w:hAnsi="Times New Roman" w:cs="Times New Roman"/>
          <w:b/>
          <w:sz w:val="24"/>
          <w:szCs w:val="24"/>
          <w:lang w:val="sq-AL"/>
        </w:rPr>
        <w:t>Lufta kundër terrorizmit</w:t>
      </w:r>
    </w:p>
    <w:p w:rsidR="00E24640" w:rsidRPr="00A00FF4" w:rsidRDefault="00E24640" w:rsidP="00E24640">
      <w:pPr>
        <w:spacing w:afterLines="160" w:after="384"/>
        <w:contextualSpacing/>
        <w:jc w:val="both"/>
        <w:rPr>
          <w:rFonts w:ascii="Times New Roman" w:eastAsia="Calibri" w:hAnsi="Times New Roman" w:cs="Times New Roman"/>
          <w:b/>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Organizimi institucional dhe harmonizimi ligjor</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AE6A0F"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Shqipëria ka një kuadër ligjor gjithëpërfshirës për parandalimin dhe luftimin e financimit të terrorizmit dhe është mjaft i avancuar në përafrimin me shtyllat kryesore të acquis të BE-së. Është palë në të gjitha konventat kundër terrorizmit të Këshillit të Evropës, përfshirë ato që mbulojnë sekuestrimin dhe konfiskimin e të ardhurave të krimit dhe financimin e terrorizmit. </w:t>
      </w:r>
      <w:r w:rsidRPr="00AE6A0F">
        <w:rPr>
          <w:rFonts w:ascii="Times New Roman" w:eastAsia="Calibri" w:hAnsi="Times New Roman" w:cs="Times New Roman"/>
          <w:b/>
          <w:i/>
          <w:sz w:val="24"/>
          <w:szCs w:val="24"/>
          <w:lang w:val="sq-AL"/>
        </w:rPr>
        <w:t>Autoritetet duhet të sigurojnë zbatimin efektiv të sanksioneve financiare të synuara të mandatuara nga Këshilli i Sigurimit i OKB-së, ndër të tjera duke rritur përfshirjen e institucioneve financiare dhe aktorëve të tjerë përkatës dhe nëpërmjet inspektimeve efektive, në për</w:t>
      </w:r>
      <w:r w:rsidR="00AE6A0F">
        <w:rPr>
          <w:rFonts w:ascii="Times New Roman" w:eastAsia="Calibri" w:hAnsi="Times New Roman" w:cs="Times New Roman"/>
          <w:b/>
          <w:i/>
          <w:sz w:val="24"/>
          <w:szCs w:val="24"/>
          <w:lang w:val="sq-AL"/>
        </w:rPr>
        <w:t>puthje me planin e veprimit të FAT</w:t>
      </w:r>
      <w:r w:rsidRPr="00AE6A0F">
        <w:rPr>
          <w:rFonts w:ascii="Times New Roman" w:eastAsia="Calibri" w:hAnsi="Times New Roman" w:cs="Times New Roman"/>
          <w:b/>
          <w:i/>
          <w:sz w:val="24"/>
          <w:szCs w:val="24"/>
          <w:lang w:val="sq-AL"/>
        </w:rPr>
        <w:t>F. Puna për parandalimin e rreziqeve të financimit të terrorizmit në rastin e instrumentalizimit të organizatave jofitimprurëse nga grupet e radikalizuara duhet të vazhdojë.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Strategjia ndërsektoriale kombëtare kundër terrorizmit dhe plani i veprimit nga Dhjetori 2020 vazhdojnë të zbatohen. </w:t>
      </w:r>
      <w:r w:rsidRPr="00AE6A0F">
        <w:rPr>
          <w:rFonts w:ascii="Times New Roman" w:eastAsia="Calibri" w:hAnsi="Times New Roman" w:cs="Times New Roman"/>
          <w:b/>
          <w:i/>
          <w:sz w:val="24"/>
          <w:szCs w:val="24"/>
          <w:lang w:val="sq-AL"/>
        </w:rPr>
        <w:t>Plani Kombëtar i Veprimit Kundër Ekstremizmit të Dhunshëm është i vjetëruar dhe plani i tij i veprimit ka skaduar dhe Shqipëria duhet të miratojë strategjinë dhe planin e ri të veprimit si çështje prioritare.</w:t>
      </w:r>
      <w:r w:rsidRPr="00A00FF4">
        <w:rPr>
          <w:rFonts w:ascii="Times New Roman" w:eastAsia="Calibri" w:hAnsi="Times New Roman" w:cs="Times New Roman"/>
          <w:sz w:val="24"/>
          <w:szCs w:val="24"/>
          <w:lang w:val="sq-AL"/>
        </w:rPr>
        <w:t xml:space="preserve"> Strategjia e re duhet të përputhet plotësisht me politikën e BE-së dhe parimet kryesore Kundër Ekstremizmit të Dhunshëm.</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Shqipëria ka vazhduar të bëjë përparim të mirë në zbatimin e marrëveshjes dypalëshe me BE-në për operacionalizimin e Planit të Përbashkët të Veprimit kundër Terrorizmit për Ballkanin Perëndimor.</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E6A0F"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 xml:space="preserve">Drejtoria e Kundër Terrorizmit e Policisë së Shtetit është organi drejtues i luftës kundër terrorizmit, nën juridiksionin e Prokurorisë së Posaçme dhe Gjykatave Speciale. Në terren janë aktive edhe Shërbimi Informativ Shtetëror dhe Agjencia e Inteligjencës dhe Sigurisë së Mbrojtjes. Personeli i policisë në komunitet i PSHSH-së është i përfshirë në përpjekjet e hershme parandaluese dhe paralajmëruese. Qendra Koordinuese për Kundër Ekstremizmit të Dhunshëm është përgjegjëse për ngritjen e kapaciteteve, koordinimin e aktiviteteve Kundër Ekstremizmit të Dhunshëm nëpër institucionet qeveritare dhe mbikëqyrjen e zbatimit të strategjisë kombëtare Kundër Ekstremizmit të Dhunshëm. Qendra e Koordinimit Kundër Ekstremizmit të Dhunshëm u zhvendos nga Zyra e Kryeministrit në Ministrinë e Brendshme në Prill 2022. </w:t>
      </w:r>
      <w:r w:rsidRPr="00AE6A0F">
        <w:rPr>
          <w:rFonts w:ascii="Times New Roman" w:eastAsia="Calibri" w:hAnsi="Times New Roman" w:cs="Times New Roman"/>
          <w:b/>
          <w:i/>
          <w:sz w:val="24"/>
          <w:szCs w:val="24"/>
          <w:lang w:val="sq-AL"/>
        </w:rPr>
        <w:t>Shqipëria duhet të garantojë që struktura e re të sigurojë vazhdimësinë e punës së qendrës dhe se qendra do të vazhdojë të ketë autoritetin dhe burimet për të kryer funksionin e tij të rëndësishëm koordinues ndërministror</w:t>
      </w:r>
      <w:r w:rsidRPr="00A00FF4">
        <w:rPr>
          <w:rFonts w:ascii="Times New Roman" w:eastAsia="Calibri" w:hAnsi="Times New Roman" w:cs="Times New Roman"/>
          <w:sz w:val="24"/>
          <w:szCs w:val="24"/>
          <w:lang w:val="sq-AL"/>
        </w:rPr>
        <w:t xml:space="preserve">. Puna e bërë vitet e fundit për përmirësimin e kapaciteteve për parandalimin e ekstremizmit të dhunshëm në nivel lokal duhet të vazhdojë; </w:t>
      </w:r>
      <w:r w:rsidRPr="00AE6A0F">
        <w:rPr>
          <w:rFonts w:ascii="Times New Roman" w:eastAsia="Calibri" w:hAnsi="Times New Roman" w:cs="Times New Roman"/>
          <w:b/>
          <w:i/>
          <w:sz w:val="24"/>
          <w:szCs w:val="24"/>
          <w:lang w:val="sq-AL"/>
        </w:rPr>
        <w:t>komunitetet lokale dhe këshillat vendore të sigurisë duhet të fuqizohen më tej në kapacitetet e tyre parandaluese. Masat dhe kapacitetet për të adresuar përmbajtje terroriste në internet duhet të përmirësohen.</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Kapaciteti zbatues dhe detyrues</w:t>
      </w: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lastRenderedPageBreak/>
        <w:t xml:space="preserve">Policia i ka referuar Prokurorisë Speciale dhe Prokurorisë së Rrethit Gjyqësor në vitin 2021 dhjetë raste të veprave terroriste dhe financimit të terrorizmit, ku janë përfshirë 11 të dyshuar. Nuk kishte dënime gjyqësore për vepra terroriste ose financim terrorizmi në vitin 2021. Autoritetet riatdhesuan dhjetë gra të rritura dhe 27 të mitur nga kampet në Siri në Tetor 2020, Gusht 2021 dhe Maj 2022. Qendra e Koordinimit Kundër Ekstremizmit të Dhunshëm dhe Drejtoria Kundër Terrorizmit e PSHSH-së kanë ka udhëhequr punën ndërinstitucionale për riintegrimin dhe rehabilitimin e tyre në mënyrë efektive dhe profesionale, ku edhe Drejtoria e Kundër Terrorizmit kryen hetime penale dhe monitoron. </w:t>
      </w:r>
      <w:r w:rsidRPr="00AE6A0F">
        <w:rPr>
          <w:rFonts w:ascii="Times New Roman" w:eastAsia="Calibri" w:hAnsi="Times New Roman" w:cs="Times New Roman"/>
          <w:i/>
          <w:sz w:val="24"/>
          <w:szCs w:val="24"/>
          <w:lang w:val="sq-AL"/>
        </w:rPr>
        <w:t>Ndaj asnjë prej të kthyerve deri më tani nuk është ngritur kallëzim penal.</w:t>
      </w:r>
      <w:r w:rsidRPr="00A00FF4">
        <w:rPr>
          <w:rFonts w:ascii="Times New Roman" w:eastAsia="Calibri" w:hAnsi="Times New Roman" w:cs="Times New Roman"/>
          <w:sz w:val="24"/>
          <w:szCs w:val="24"/>
          <w:lang w:val="sq-AL"/>
        </w:rPr>
        <w:t xml:space="preserve"> Në total nga Siria dhe Iraku në Shqipëri janë kthyer 81 shtetas shqiptarë. Rreth 35 deri në 45 shtetas Shqiptarë vlerësohet të mbeten në Siri; të paktën 45 besohet se kanë vdekur në zonën e konfliktit. Autoritetet vazhdojnë të kërkojnë kthimin e grave dhe fëmijëve të mbetur nga kampet në Siri. Qendra Koordinuese Kundër Ekstremizmit të Dhunshëm është angazhuar në ngritjen e kapaciteteve në nivel lokal dhe kombëtar për parandalimin dhe luftimin e ekstremizmit të dhunshëm, përfshirë në bashkëpunim me shoqërinë civile.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 xml:space="preserve">Bashkëpunimi rajonal dhe shkëmbimi i informacionit të ndjeshëm me partnerët ndërkombëtarë mbetet i kënaqshëm. Ndërkohë që është bërë përparim, </w:t>
      </w:r>
      <w:r w:rsidRPr="00AE6A0F">
        <w:rPr>
          <w:rFonts w:ascii="Times New Roman" w:eastAsia="Calibri" w:hAnsi="Times New Roman" w:cs="Times New Roman"/>
          <w:b/>
          <w:i/>
          <w:sz w:val="24"/>
          <w:szCs w:val="24"/>
          <w:lang w:val="sq-AL"/>
        </w:rPr>
        <w:t>Shqipëria duhet të përdorë më aktivisht produktet, shërbimet dhe aftësitë e platformave të komunikimit të Qendrës Evropiane Kundër Terrorizmit të Europolit. Ajo duhet të vazhdojë të bashkëpunojë me Njësinë e Referimit të Internetit të Europolit</w:t>
      </w:r>
      <w:r w:rsidRPr="00A00FF4">
        <w:rPr>
          <w:rFonts w:ascii="Times New Roman" w:eastAsia="Calibri" w:hAnsi="Times New Roman" w:cs="Times New Roman"/>
          <w:sz w:val="24"/>
          <w:szCs w:val="24"/>
          <w:lang w:val="sq-AL"/>
        </w:rPr>
        <w:t>. Ajo mori pjesë aktive në zbatimin e nismës kundër terrorizmit të Ballkanit Perëndimor, nën Qeverisjen Integruese të Sigurisë së Brendshme (QISB).</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4B0837"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Shqipëria duhet të vazhdojë të fokusohet në riintegrimin dhe rehabilitimin e të kthyerve nga Siria, si dhe në hetimin dhe ndjekjen penale të t</w:t>
      </w:r>
      <w:r w:rsidR="004B0837">
        <w:rPr>
          <w:rFonts w:ascii="Times New Roman" w:eastAsia="Calibri" w:hAnsi="Times New Roman" w:cs="Times New Roman"/>
          <w:sz w:val="24"/>
          <w:szCs w:val="24"/>
          <w:lang w:val="sq-AL"/>
        </w:rPr>
        <w:t xml:space="preserve">ë dyshuarve për vepra penale. </w:t>
      </w:r>
      <w:r w:rsidR="004B0837" w:rsidRPr="004B0837">
        <w:rPr>
          <w:rFonts w:ascii="Times New Roman" w:eastAsia="Calibri" w:hAnsi="Times New Roman" w:cs="Times New Roman"/>
          <w:b/>
          <w:i/>
          <w:sz w:val="24"/>
          <w:szCs w:val="24"/>
          <w:lang w:val="sq-AL"/>
        </w:rPr>
        <w:t>Ajo</w:t>
      </w:r>
      <w:r w:rsidRPr="004B0837">
        <w:rPr>
          <w:rFonts w:ascii="Times New Roman" w:eastAsia="Calibri" w:hAnsi="Times New Roman" w:cs="Times New Roman"/>
          <w:b/>
          <w:i/>
          <w:sz w:val="24"/>
          <w:szCs w:val="24"/>
          <w:lang w:val="sq-AL"/>
        </w:rPr>
        <w:t xml:space="preserve"> duhet të forcojë menaxhimin e rasteve dhe mekanizmat e referimit për të kthyerit dhe individët në rrezik të radikalizimit. Radikalizimi i burgjeve dhe përmbajtja terroriste në internet vazhdojnë të kërkojnë vëmendje. Shqipëria duhet gjithashtu të vazhdojë të hetojë lidhjet midis krimit të organizuar dhe terrorizmit, si dhe të sigurojë përafrimin me legjislacionin e BE-së për lëndët plasëse dhe të përditësojë treguesit për pikat e grumbullimit të Armëve të Zjarrit në bazë të rekomandimeve të Këshillit të Korrikut 2021.</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u w:val="single"/>
          <w:lang w:val="sq-AL"/>
        </w:rPr>
      </w:pPr>
      <w:r w:rsidRPr="00A00FF4">
        <w:rPr>
          <w:rFonts w:ascii="Times New Roman" w:eastAsia="Calibri" w:hAnsi="Times New Roman" w:cs="Times New Roman"/>
          <w:sz w:val="24"/>
          <w:szCs w:val="24"/>
          <w:u w:val="single"/>
          <w:lang w:val="sq-AL"/>
        </w:rPr>
        <w:t>Bashkëpunimi gjyqësor në çështjet penale dhe civile</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Në vitin 2021, Zyra Shqiptare e Ndërlidhjes me Eurojust-in ka regjistruar 21 raste me kërkesë të autoriteteve Shqiptare, 16 prej të cilave janë përfunduar. 51 raste të reja janë hapur me Zyrën Ndërlidhëse të Shqipërisë me kërkesë të autoriteteve kompetente të shteteve anëtare të BE-së. Janë lidhur 5 marrëveshje të reja për ngritjen e ekipeve të përbashkëta hetimore (EPH).</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Ndryshimet në ligjin për bashkëpunim gjyqësor në çështjet penale me juridiksionet e huaja, të miratuara në korrik 2021, kanë rezultuar të dobishme në lehtësimin e ngritjes së ekipeve të përbashkëta hetimore, por do të nevojiten të jenë më tepër për të harmonizuar politikën kombëtare me acquis të BE. -së.</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lastRenderedPageBreak/>
        <w:t>Një strukturë dypalëshe ekstradimi u nënshkrua midis Shqipërisë dhe Spanjës në shtator 2021 dhe hyri në fuqi në shkurt 2022.</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r w:rsidRPr="00A00FF4">
        <w:rPr>
          <w:rFonts w:ascii="Times New Roman" w:eastAsia="Calibri" w:hAnsi="Times New Roman" w:cs="Times New Roman"/>
          <w:sz w:val="24"/>
          <w:szCs w:val="24"/>
          <w:lang w:val="sq-AL"/>
        </w:rPr>
        <w:t>Për zgjidhjen e çështjeve civile, në vitin 2021 Shqipëria ka pranuar 273 kërkesa për ndihmë të ndërsjellë juridike dhe ka dërguar 97 kërkesa, shifra të ngjashme me vitin 2020. dërguar 870 kërkesa (981 dhe 1 182 në 2020).</w:t>
      </w:r>
    </w:p>
    <w:p w:rsidR="00E24640" w:rsidRPr="004B0837" w:rsidRDefault="00E24640" w:rsidP="00E24640">
      <w:pPr>
        <w:spacing w:afterLines="160" w:after="384"/>
        <w:contextualSpacing/>
        <w:jc w:val="both"/>
        <w:rPr>
          <w:rFonts w:ascii="Times New Roman" w:eastAsia="Calibri" w:hAnsi="Times New Roman" w:cs="Times New Roman"/>
          <w:b/>
          <w:i/>
          <w:sz w:val="24"/>
          <w:szCs w:val="24"/>
          <w:lang w:val="sq-AL"/>
        </w:rPr>
      </w:pPr>
      <w:r w:rsidRPr="00A00FF4">
        <w:rPr>
          <w:rFonts w:ascii="Times New Roman" w:eastAsia="Calibri" w:hAnsi="Times New Roman" w:cs="Times New Roman"/>
          <w:sz w:val="24"/>
          <w:szCs w:val="24"/>
          <w:lang w:val="sq-AL"/>
        </w:rPr>
        <w:t>Duhet të finalizojë procedurat e Shqipërisë së brendshme për aderimin në Konventën e Hagës 2005 për Zgjedhjen e Marrëveshjeve Gjyqësore dhe Protokollin e 2007 mbi Ligjin e Zbatimit për Detyrimet e Mirëmbajtjes.</w:t>
      </w:r>
      <w:r w:rsidR="004B0837">
        <w:rPr>
          <w:rFonts w:ascii="Times New Roman" w:eastAsia="Calibri" w:hAnsi="Times New Roman" w:cs="Times New Roman"/>
          <w:sz w:val="24"/>
          <w:szCs w:val="24"/>
          <w:lang w:val="sq-AL"/>
        </w:rPr>
        <w:t xml:space="preserve"> </w:t>
      </w:r>
      <w:r w:rsidR="004B0837" w:rsidRPr="004B0837">
        <w:rPr>
          <w:rFonts w:ascii="Times New Roman" w:eastAsia="Calibri" w:hAnsi="Times New Roman" w:cs="Times New Roman"/>
          <w:b/>
          <w:i/>
          <w:sz w:val="24"/>
          <w:szCs w:val="24"/>
          <w:lang w:val="sq-AL"/>
        </w:rPr>
        <w:t>Ajo d</w:t>
      </w:r>
      <w:r w:rsidRPr="004B0837">
        <w:rPr>
          <w:rFonts w:ascii="Times New Roman" w:eastAsia="Calibri" w:hAnsi="Times New Roman" w:cs="Times New Roman"/>
          <w:b/>
          <w:i/>
          <w:sz w:val="24"/>
          <w:szCs w:val="24"/>
          <w:lang w:val="sq-AL"/>
        </w:rPr>
        <w:t xml:space="preserve">uhet të </w:t>
      </w:r>
      <w:r w:rsidR="004B0837" w:rsidRPr="004B0837">
        <w:rPr>
          <w:rFonts w:ascii="Times New Roman" w:eastAsia="Calibri" w:hAnsi="Times New Roman" w:cs="Times New Roman"/>
          <w:b/>
          <w:i/>
          <w:sz w:val="24"/>
          <w:szCs w:val="24"/>
          <w:lang w:val="sq-AL"/>
        </w:rPr>
        <w:t>permiresoje</w:t>
      </w:r>
      <w:r w:rsidRPr="004B0837">
        <w:rPr>
          <w:rFonts w:ascii="Times New Roman" w:eastAsia="Calibri" w:hAnsi="Times New Roman" w:cs="Times New Roman"/>
          <w:b/>
          <w:i/>
          <w:sz w:val="24"/>
          <w:szCs w:val="24"/>
          <w:lang w:val="sq-AL"/>
        </w:rPr>
        <w:t xml:space="preserve"> më tej bashkëpunimin ndërkombëtar, në kohë të instrumenteve shumëpalëshe dhe kapacitetin e tij institucional.</w:t>
      </w:r>
    </w:p>
    <w:p w:rsidR="00E24640" w:rsidRPr="00A00FF4" w:rsidRDefault="00E24640" w:rsidP="00E24640">
      <w:pPr>
        <w:spacing w:afterLines="160" w:after="384"/>
        <w:contextualSpacing/>
        <w:jc w:val="both"/>
        <w:rPr>
          <w:rFonts w:ascii="Times New Roman" w:eastAsia="Calibri" w:hAnsi="Times New Roman" w:cs="Times New Roman"/>
          <w:sz w:val="24"/>
          <w:szCs w:val="24"/>
          <w:lang w:val="sq-AL"/>
        </w:rPr>
      </w:pPr>
    </w:p>
    <w:p w:rsidR="004C5618" w:rsidRDefault="004C5618" w:rsidP="004C5618">
      <w:pPr>
        <w:pStyle w:val="NoSpacing"/>
        <w:jc w:val="both"/>
        <w:rPr>
          <w:rFonts w:ascii="Times New Roman" w:hAnsi="Times New Roman" w:cs="Times New Roman"/>
          <w:b/>
          <w:bCs/>
          <w:sz w:val="24"/>
          <w:szCs w:val="24"/>
          <w:lang w:val="sq-AL"/>
        </w:rPr>
      </w:pPr>
      <w:r>
        <w:rPr>
          <w:rFonts w:ascii="Times New Roman" w:hAnsi="Times New Roman" w:cs="Times New Roman"/>
          <w:b/>
          <w:bCs/>
          <w:sz w:val="24"/>
          <w:szCs w:val="24"/>
          <w:lang w:val="sq-AL"/>
        </w:rPr>
        <w:t>Migrimi legal dhe i parregullt</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u w:val="single"/>
          <w:lang w:val="sq-AL"/>
        </w:rPr>
      </w:pPr>
      <w:r>
        <w:rPr>
          <w:rFonts w:ascii="Times New Roman" w:hAnsi="Times New Roman" w:cs="Times New Roman"/>
          <w:sz w:val="24"/>
          <w:szCs w:val="24"/>
          <w:u w:val="single"/>
          <w:lang w:val="sq-AL"/>
        </w:rPr>
        <w:t>Organizimi institucional dhe përafrimi ligjor</w:t>
      </w:r>
    </w:p>
    <w:p w:rsidR="004C5618" w:rsidRDefault="004C5618" w:rsidP="004C5618">
      <w:pPr>
        <w:pStyle w:val="NoSpacing"/>
        <w:jc w:val="both"/>
        <w:rPr>
          <w:rFonts w:ascii="Times New Roman" w:hAnsi="Times New Roman" w:cs="Times New Roman"/>
          <w:b/>
          <w:bCs/>
          <w:sz w:val="24"/>
          <w:szCs w:val="24"/>
          <w:u w:val="single"/>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Ministria e Brendshme është aktori kryesor në fushën e migracionit. Organet kryesore nën mbikëqyrjen e saj përgjegjëse për zbatimin e politikave të migracionit janë Departamenti i Kufirit dhe Migracionit në Drejtorinë e Përgjithshme të PSHSH-së dhe Drejtoria e Antitrafikut dhe Migracionit në Ministrinë e Brendshme. Avokati i Popullit dhe njësia për mbrojtjen e fëmijëve në kuadër të Ministrisë së Shëndetësisë dhe Çështjeve Sociale luajnë një rol të rëndësishëm në monitorimin dhe ofrimin e shërbimeve për migrantët e ardhur. Agjencia Kombëtare për Punësimin dhe Aftësitë mbulon gjithashtu shërbimet, programet e punësimit dhe programet e formimit profesional për të huajt, personat pa shtetësi dhe refugjatët.</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Kuadri ligjor për migracionin është kryesisht në përputhje me acquis të BE-së, </w:t>
      </w:r>
      <w:r w:rsidRPr="00CB5623">
        <w:rPr>
          <w:rFonts w:ascii="Times New Roman" w:hAnsi="Times New Roman" w:cs="Times New Roman"/>
          <w:b/>
          <w:i/>
          <w:sz w:val="24"/>
          <w:szCs w:val="24"/>
          <w:lang w:val="sq-AL"/>
        </w:rPr>
        <w:t xml:space="preserve">por ka nevojë për përditësim në përputhje me zhvillimet e fundit nga ana e BE-së. </w:t>
      </w:r>
      <w:r>
        <w:rPr>
          <w:rFonts w:ascii="Times New Roman" w:hAnsi="Times New Roman" w:cs="Times New Roman"/>
          <w:sz w:val="24"/>
          <w:szCs w:val="24"/>
          <w:lang w:val="sq-AL"/>
        </w:rPr>
        <w:t>Shqipëria ka një marrëveshje ripranimi me BE-në dhe protokollet zbatuese janë në fuqi me 12 shtete anëtare. Shqipëria ka përsëritur interesin e saj për të lidhur një protokoll zbatues me Greqinë. Projektmarrëveshjet e ripranimit janë dërguar nga autoritetet shqiptare në disa vende të origjinës, por deri më tani pa rezultat. Drafti i ri i marrëveshjeve të ripranimit u dërgua në Egjipt. Draftet janë përgatitur gjithashtu për t'u dërguar në Tunizi dhe Bangladesh. Në vitin 2022, nisën negociatat për një Marrëveshje Partneriteti Dypalësh në fushën e migracionit me Indinë, e cila do të përfshinte dispozita për ripranimin.</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Zbatimi i </w:t>
      </w:r>
      <w:r>
        <w:rPr>
          <w:rFonts w:ascii="Times New Roman" w:hAnsi="Times New Roman" w:cs="Times New Roman"/>
          <w:b/>
          <w:bCs/>
          <w:sz w:val="24"/>
          <w:szCs w:val="24"/>
          <w:lang w:val="sq-AL"/>
        </w:rPr>
        <w:t>strategjisë</w:t>
      </w:r>
      <w:r>
        <w:rPr>
          <w:rFonts w:ascii="Times New Roman" w:hAnsi="Times New Roman" w:cs="Times New Roman"/>
          <w:sz w:val="24"/>
          <w:szCs w:val="24"/>
          <w:lang w:val="sq-AL"/>
        </w:rPr>
        <w:t xml:space="preserve"> kombëtare të migracionit dhe planit të veprimit për 2019-2022 ka vazhduar, me raportet e monitorimit që publikohen rregullisht dhe një rishikim afatmesëm është kryer në vitin 2021 me mbështetjen e IOM-it.</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u w:val="single"/>
          <w:lang w:val="sq-AL"/>
        </w:rPr>
      </w:pPr>
      <w:r>
        <w:rPr>
          <w:rFonts w:ascii="Times New Roman" w:hAnsi="Times New Roman" w:cs="Times New Roman"/>
          <w:sz w:val="24"/>
          <w:szCs w:val="24"/>
          <w:u w:val="single"/>
          <w:lang w:val="sq-AL"/>
        </w:rPr>
        <w:t>Kapaciteti zbatues dhe detyruese</w:t>
      </w:r>
    </w:p>
    <w:p w:rsidR="004C5618" w:rsidRDefault="004C5618" w:rsidP="004C5618">
      <w:pPr>
        <w:pStyle w:val="NoSpacing"/>
        <w:jc w:val="both"/>
        <w:rPr>
          <w:rFonts w:ascii="Times New Roman" w:hAnsi="Times New Roman" w:cs="Times New Roman"/>
          <w:b/>
          <w:bCs/>
          <w:sz w:val="24"/>
          <w:szCs w:val="24"/>
          <w:u w:val="single"/>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Në vitin 2021, në vend u zbuluan 10 102</w:t>
      </w:r>
      <w:r>
        <w:rPr>
          <w:rStyle w:val="FootnoteReference"/>
          <w:rFonts w:ascii="Times New Roman" w:hAnsi="Times New Roman" w:cs="Times New Roman"/>
          <w:sz w:val="24"/>
          <w:szCs w:val="24"/>
          <w:lang w:val="sq-AL"/>
        </w:rPr>
        <w:footnoteReference w:customMarkFollows="1" w:id="4"/>
        <w:t>[1]</w:t>
      </w:r>
      <w:r>
        <w:rPr>
          <w:rFonts w:ascii="Times New Roman" w:hAnsi="Times New Roman" w:cs="Times New Roman"/>
          <w:sz w:val="24"/>
          <w:szCs w:val="24"/>
          <w:lang w:val="sq-AL"/>
        </w:rPr>
        <w:t xml:space="preserve"> migrantë të parregullt, krahasuar me pothuajse 12 000 në vitin 2020. Shtetasit me numër më të lartë ishin nga Siria (52%) dhe Afganistani (14%).</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Kapacitetet e pritjes janë rritur në vitin 2021 me rinovimin e Qendrës Kombëtare të Pritjes në Babrru duke lejuar deri në 250 shtretër dhe një hapësirë ​​të dedikuar miqësore për familjen. E vetmja qendër pritje e mbyllur për shtetasit e vendeve të treta që janë objekt i procedurave të kthimit në Karreç, me një kapacitet total prej 150 shtretërish, kërkon ende një rinovim urgjent. Kapaciteti i përgjithshëm i të gjitha objekteve të pritjes, të drejtuara nga shteti, nga OJQ-të ose të drejtuara nga bashkitë lokale është afërsisht 580 shtretër. </w:t>
      </w:r>
      <w:r w:rsidRPr="00CB5623">
        <w:rPr>
          <w:rFonts w:ascii="Times New Roman" w:hAnsi="Times New Roman" w:cs="Times New Roman"/>
          <w:b/>
          <w:color w:val="FF0000"/>
          <w:sz w:val="24"/>
          <w:szCs w:val="24"/>
          <w:lang w:val="sq-AL"/>
        </w:rPr>
        <w:t>Shqipëria nuk ka ambiente të veçanta për të miturit e pashoqëruar.</w:t>
      </w:r>
      <w:r w:rsidRPr="00CB5623">
        <w:rPr>
          <w:rFonts w:ascii="Times New Roman" w:hAnsi="Times New Roman" w:cs="Times New Roman"/>
          <w:color w:val="FF0000"/>
          <w:sz w:val="24"/>
          <w:szCs w:val="24"/>
          <w:lang w:val="sq-AL"/>
        </w:rPr>
        <w:t xml:space="preserve"> Ministria e Brendshme ka përditësuar planin e saj të emergjencës për një numër të konsiderueshëm të mundshëm ardhjesh të emigrantëve dhe azilkërkuesve, por plani ende nuk është miratuar nga Këshilli i Ministrave</w:t>
      </w:r>
      <w:r>
        <w:rPr>
          <w:rFonts w:ascii="Times New Roman" w:hAnsi="Times New Roman" w:cs="Times New Roman"/>
          <w:sz w:val="24"/>
          <w:szCs w:val="24"/>
          <w:lang w:val="sq-AL"/>
        </w:rPr>
        <w:t xml:space="preserve">. </w:t>
      </w:r>
      <w:r w:rsidRPr="00CB5623">
        <w:rPr>
          <w:rFonts w:ascii="Times New Roman" w:hAnsi="Times New Roman" w:cs="Times New Roman"/>
          <w:b/>
          <w:i/>
          <w:sz w:val="24"/>
          <w:szCs w:val="24"/>
          <w:lang w:val="sq-AL"/>
        </w:rPr>
        <w:t>Një plan i tillë duhet të përfshijë alokimet e duhura buxhetore dhe modalitete të qarta për nxitjen e tij. Menaxhimi i rasteve të fëmijëve të pashoqëruar nuk trajtohet si një proces i integruar, siç kërkohet nga ligji për azilin</w:t>
      </w:r>
      <w:r>
        <w:rPr>
          <w:rFonts w:ascii="Times New Roman" w:hAnsi="Times New Roman" w:cs="Times New Roman"/>
          <w:sz w:val="24"/>
          <w:szCs w:val="24"/>
          <w:lang w:val="sq-AL"/>
        </w:rPr>
        <w:t>.</w:t>
      </w:r>
    </w:p>
    <w:p w:rsidR="004C5618" w:rsidRDefault="004C5618" w:rsidP="004C5618">
      <w:pPr>
        <w:pStyle w:val="NoSpacing"/>
        <w:jc w:val="both"/>
        <w:rPr>
          <w:rFonts w:ascii="Times New Roman" w:hAnsi="Times New Roman" w:cs="Times New Roman"/>
          <w:sz w:val="24"/>
          <w:szCs w:val="24"/>
          <w:lang w:val="sq-AL"/>
        </w:rPr>
      </w:pPr>
    </w:p>
    <w:p w:rsidR="004C5618" w:rsidRPr="00CB5623" w:rsidRDefault="004C5618" w:rsidP="004C5618">
      <w:pPr>
        <w:pStyle w:val="NoSpacing"/>
        <w:jc w:val="both"/>
        <w:rPr>
          <w:rFonts w:ascii="Times New Roman" w:hAnsi="Times New Roman" w:cs="Times New Roman"/>
          <w:b/>
          <w:i/>
          <w:sz w:val="24"/>
          <w:szCs w:val="24"/>
          <w:lang w:val="sq-AL"/>
        </w:rPr>
      </w:pPr>
      <w:r>
        <w:rPr>
          <w:rFonts w:ascii="Times New Roman" w:hAnsi="Times New Roman" w:cs="Times New Roman"/>
          <w:b/>
          <w:bCs/>
          <w:sz w:val="24"/>
          <w:szCs w:val="24"/>
          <w:lang w:val="sq-AL"/>
        </w:rPr>
        <w:t>Stafi i përgjithshëm</w:t>
      </w:r>
      <w:r>
        <w:rPr>
          <w:rFonts w:ascii="Times New Roman" w:hAnsi="Times New Roman" w:cs="Times New Roman"/>
          <w:sz w:val="24"/>
          <w:szCs w:val="24"/>
          <w:lang w:val="sq-AL"/>
        </w:rPr>
        <w:t xml:space="preserve"> </w:t>
      </w:r>
      <w:r w:rsidRPr="00CB5623">
        <w:rPr>
          <w:rFonts w:ascii="Times New Roman" w:hAnsi="Times New Roman" w:cs="Times New Roman"/>
          <w:color w:val="FF0000"/>
          <w:sz w:val="24"/>
          <w:szCs w:val="24"/>
          <w:lang w:val="sq-AL"/>
        </w:rPr>
        <w:t xml:space="preserve">i Departamentit të Kufirit dhe Migracionit të PSH-së </w:t>
      </w:r>
      <w:r w:rsidRPr="00CB5623">
        <w:rPr>
          <w:rFonts w:ascii="Times New Roman" w:hAnsi="Times New Roman" w:cs="Times New Roman"/>
          <w:b/>
          <w:i/>
          <w:color w:val="FF0000"/>
          <w:sz w:val="24"/>
          <w:szCs w:val="24"/>
          <w:lang w:val="sq-AL"/>
        </w:rPr>
        <w:t>mbetet i kufizuar</w:t>
      </w:r>
      <w:r>
        <w:rPr>
          <w:rFonts w:ascii="Times New Roman" w:hAnsi="Times New Roman" w:cs="Times New Roman"/>
          <w:sz w:val="24"/>
          <w:szCs w:val="24"/>
          <w:lang w:val="sq-AL"/>
        </w:rPr>
        <w:t xml:space="preserve">, me 1 663 punonjës, një rritje prej 25 punonjësish krahasuar me vitin 2020. Janë organizuar trajnime gjithëpërfshirëse dhe stërvitje të përbashkëta për zyrtarët kryesorë të kufirit dhe oficerët e vijës së parë. </w:t>
      </w:r>
      <w:r w:rsidRPr="00CB5623">
        <w:rPr>
          <w:rFonts w:ascii="Times New Roman" w:hAnsi="Times New Roman" w:cs="Times New Roman"/>
          <w:b/>
          <w:i/>
          <w:sz w:val="24"/>
          <w:szCs w:val="24"/>
          <w:lang w:val="sq-AL"/>
        </w:rPr>
        <w:t>Megjithatë, duhet të krijohen struktura të përhershme trajnimi në përputhje me standardet bazë të trajnimit për rojet kufitare të BE-së. Lëvizja e madhe e oficerëve vazhdon dhe duhet të adresohet. Oficerët e Policisë Kufitare dhe të Migracionit duhet të rrisin kapacitetet e tyre për të identifikuar refugjatët dhe migrantët me nevoja specifike. Koordinimi me departamentet e mbrojtjes së fëmijëve dhe antitrafikimit duhet gjithashtu të përmirësohet. Raportimet e refugjatëve dhe emigrantëve që kthehen në Greqi jashtë një kuadri ligjor dhe/ose procedural, pa një ekzaminim adekuat paraprak, kanë vazhduar gjatë periudhës raportuese. Shqipëria duhet të zbatojë procedurat e kthimit në përputhje me Ligjin për të huajt dhe të sigurojë që mekanizmi i saj i kthimit për migrantët e parregullt të jetë në përputhje me acquis të BE-së, duke përfshirë të drejtat themelore.</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b/>
          <w:bCs/>
          <w:sz w:val="24"/>
          <w:szCs w:val="24"/>
          <w:lang w:val="sq-AL"/>
        </w:rPr>
        <w:t>Marrëveshja e ripranimit me BE-në</w:t>
      </w:r>
      <w:r>
        <w:rPr>
          <w:rFonts w:ascii="Times New Roman" w:hAnsi="Times New Roman" w:cs="Times New Roman"/>
          <w:sz w:val="24"/>
          <w:szCs w:val="24"/>
          <w:lang w:val="sq-AL"/>
        </w:rPr>
        <w:t xml:space="preserve"> po funksionon mirë, me Shqipërinë duke respektuar me shpejtësi kërkesat e shteteve anëtare për ripranimin e shtetasve të saj dhe të vendeve të treta. Në vitin 2021 janë dhënë 22 025 vendime kthimi për shtetasit shqiptarë dhe 8 555 janë kthyer efektivisht. Bashkëpunimi midis Shqipërisë dhe Frontex për operacionet e kthimit është shumë i mirë. Më 25 Janar 2022, Frontex organizoi në Shqipëri operacionet e para të plota të kthimit të drejtuara nga Frontex, duke kthyer rreth 50 migrantë të parregullt shqiptarë nga disa shtete anëtare të BE-së me mbështetjen e autoriteteve shqiptare.</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Në vitin 2021, ka pasur dy raste të kthimit vullnetar në vendet e origjinës.</w:t>
      </w:r>
    </w:p>
    <w:p w:rsidR="004C5618" w:rsidRDefault="004C5618" w:rsidP="004C5618">
      <w:pPr>
        <w:pStyle w:val="NoSpacing"/>
        <w:jc w:val="both"/>
        <w:rPr>
          <w:rFonts w:ascii="Times New Roman" w:hAnsi="Times New Roman" w:cs="Times New Roman"/>
          <w:sz w:val="24"/>
          <w:szCs w:val="24"/>
          <w:lang w:val="sq-AL"/>
        </w:rPr>
      </w:pP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Në Gusht 2021, Shqipëria filloi të presë përkohësisht të evakuuarit Afganë. Deri në 2 500 janë pritur në ambiente të hapura pranë vijës bregdetare në Shqipëri, me mbështetjen e OJQ-ve ndërkombëtare. Të gjithë të evakuuarit afganë aplikuan për mbrojtje të përkohshme në vend, e cila u është dhënë me një vendim të Këshillit të Ministrave të miratuar më 25 Gusht 2021. Shumica e tyre tani janë zhvendosur në vende të tjera, kryesisht në Kanada (1374), SHBA (315) dhe Vendet e BE-së (73).</w:t>
      </w:r>
    </w:p>
    <w:p w:rsidR="004C5618" w:rsidRDefault="004C5618" w:rsidP="004C5618">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Që nga Marsi 2022, autoritetet Shqiptare i dhanë të drejtën e qëndrimit në Shqipëri, për një periudhë deri në një vit pa pasur nevojë për leje qëndrimi, ose të drejtën për të kërkuar statusin e mbrojtjes së përkohshme për refugjatët nga Ukraina. Nga 24 Shkurti në Shqipëri kanë hyrë 8 763 shtetas ukrainas, ndërsa janë larguar 6 991. Të gjithë janë pritur në Shqipëri në akomodim privat. </w:t>
      </w:r>
      <w:r>
        <w:rPr>
          <w:rFonts w:ascii="Times New Roman" w:hAnsi="Times New Roman" w:cs="Times New Roman"/>
          <w:sz w:val="24"/>
          <w:szCs w:val="24"/>
          <w:lang w:val="sq-AL"/>
        </w:rPr>
        <w:lastRenderedPageBreak/>
        <w:t>Asnjë prej tyre nuk ka aplikuar për të përfituar mbrojtje të përkohshme. Vetëm disa kanë aplikuar për azil në vend, por të gjithë e kanë tërhequr kërkesën.</w:t>
      </w:r>
    </w:p>
    <w:p w:rsidR="008F395D" w:rsidRPr="008F395D" w:rsidRDefault="008F395D" w:rsidP="008F395D">
      <w:pPr>
        <w:jc w:val="both"/>
        <w:rPr>
          <w:rFonts w:ascii="Times New Roman" w:hAnsi="Times New Roman" w:cs="Times New Roman"/>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Azili</w:t>
      </w:r>
    </w:p>
    <w:p w:rsidR="008F395D" w:rsidRPr="00CB5623" w:rsidRDefault="008F395D" w:rsidP="008F395D">
      <w:pPr>
        <w:jc w:val="both"/>
        <w:rPr>
          <w:rFonts w:ascii="Times New Roman" w:hAnsi="Times New Roman" w:cs="Times New Roman"/>
          <w:b/>
          <w:sz w:val="24"/>
          <w:szCs w:val="24"/>
        </w:rPr>
      </w:pPr>
      <w:r w:rsidRPr="00CB5623">
        <w:rPr>
          <w:rFonts w:ascii="Times New Roman" w:hAnsi="Times New Roman" w:cs="Times New Roman"/>
          <w:b/>
          <w:sz w:val="24"/>
          <w:szCs w:val="24"/>
        </w:rPr>
        <w:t>Organizimi institucional dhe harmonizimi ligjor</w:t>
      </w:r>
    </w:p>
    <w:p w:rsidR="008F395D" w:rsidRPr="00CB5623" w:rsidRDefault="008F395D" w:rsidP="008F395D">
      <w:pPr>
        <w:jc w:val="both"/>
        <w:rPr>
          <w:rFonts w:ascii="Times New Roman" w:hAnsi="Times New Roman" w:cs="Times New Roman"/>
          <w:b/>
          <w:i/>
          <w:sz w:val="24"/>
          <w:szCs w:val="24"/>
        </w:rPr>
      </w:pPr>
      <w:r w:rsidRPr="008F395D">
        <w:rPr>
          <w:rFonts w:ascii="Times New Roman" w:hAnsi="Times New Roman" w:cs="Times New Roman"/>
          <w:sz w:val="24"/>
          <w:szCs w:val="24"/>
        </w:rPr>
        <w:t xml:space="preserve">Ligji për azilin është kryesisht në përputhje me acquis të BE-së. Përpjekjet janë fokusuar në hartimin e akteve nënligjore për zbatimin e tij me të 15 aktet nënligjore të miratuara. Përpjekjet duhet të vijojnë dhe konsultimet e duhura duhet të zhvillohen me Agjencinë e Bashkimit Evropian për Azilin (EUAA) mbi udhëzimet praktike për zbatimin e tyre. Edhe pse ligji u jep azilkërkuesve të drejtën për të aksesuar shërbimet publike në të njëjtin nivel me shtetasit shqiptarë, mospërputhja me aktet e tjera ligjore pengon një akses efektiv. </w:t>
      </w:r>
      <w:r w:rsidRPr="00CB5623">
        <w:rPr>
          <w:rFonts w:ascii="Times New Roman" w:hAnsi="Times New Roman" w:cs="Times New Roman"/>
          <w:b/>
          <w:i/>
          <w:sz w:val="24"/>
          <w:szCs w:val="24"/>
        </w:rPr>
        <w:t>Mbetet për t'u arritur një zbatim efikas dhe cilësor i ligjit dhe kjo do të kërkonte kapacitete administrative shtesë.</w:t>
      </w:r>
    </w:p>
    <w:p w:rsidR="008F395D" w:rsidRPr="00CB5623"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Shqipëria ka institucionet e nevojshme për të trajtuar kërkesat për azil. Ankesat administrative mund të depozitohen pranë Komisionit Komb</w:t>
      </w:r>
      <w:r w:rsidR="00CB5623">
        <w:rPr>
          <w:rFonts w:ascii="Times New Roman" w:hAnsi="Times New Roman" w:cs="Times New Roman"/>
          <w:sz w:val="24"/>
          <w:szCs w:val="24"/>
        </w:rPr>
        <w:t>ëtar për Refugjatët dhe Azilin.</w:t>
      </w:r>
    </w:p>
    <w:p w:rsidR="008F395D" w:rsidRPr="00CB5623" w:rsidRDefault="008F395D" w:rsidP="008F395D">
      <w:pPr>
        <w:jc w:val="both"/>
        <w:rPr>
          <w:rFonts w:ascii="Times New Roman" w:hAnsi="Times New Roman" w:cs="Times New Roman"/>
          <w:b/>
          <w:sz w:val="24"/>
          <w:szCs w:val="24"/>
        </w:rPr>
      </w:pPr>
      <w:r w:rsidRPr="00CB5623">
        <w:rPr>
          <w:rFonts w:ascii="Times New Roman" w:hAnsi="Times New Roman" w:cs="Times New Roman"/>
          <w:b/>
          <w:sz w:val="24"/>
          <w:szCs w:val="24"/>
        </w:rPr>
        <w:t xml:space="preserve">Implementimi dhe Kapacitetet zbatuese </w:t>
      </w:r>
    </w:p>
    <w:p w:rsidR="008F395D" w:rsidRPr="00CB5623" w:rsidRDefault="008F395D" w:rsidP="008F395D">
      <w:pPr>
        <w:jc w:val="both"/>
        <w:rPr>
          <w:rFonts w:ascii="Times New Roman" w:hAnsi="Times New Roman" w:cs="Times New Roman"/>
          <w:b/>
          <w:i/>
          <w:sz w:val="24"/>
          <w:szCs w:val="24"/>
        </w:rPr>
      </w:pPr>
      <w:r w:rsidRPr="00CB5623">
        <w:rPr>
          <w:rFonts w:ascii="Times New Roman" w:hAnsi="Times New Roman" w:cs="Times New Roman"/>
          <w:b/>
          <w:color w:val="FF0000"/>
          <w:sz w:val="24"/>
          <w:szCs w:val="24"/>
        </w:rPr>
        <w:t>Shqipëria vazhdon të jetë kryesisht një vend tranzit, i konsideruar si i tillë si nga komuniteti i refugjatëve dhe emigrantëve ashtu edhe nga autoritetet shqiptare</w:t>
      </w:r>
      <w:r w:rsidRPr="008F395D">
        <w:rPr>
          <w:rFonts w:ascii="Times New Roman" w:hAnsi="Times New Roman" w:cs="Times New Roman"/>
          <w:sz w:val="24"/>
          <w:szCs w:val="24"/>
        </w:rPr>
        <w:t xml:space="preserve">. Në vitin 2021, 10 102 migrantë u kapën në vend, krahasuar me pothuajse 12 000 në 2020. Në vitin 2021, vetëm 85 persona bënë kërkesë për azil në Policinë Kufitare dhe Migracionit, krahasuar me 2 102 persona në vitin 2020, ndërsa më shumë se 80 % e të gjithë ardhjeve në vitin 2021 ishin vetë-raportuar nga vende me shkallë të lartë mbrojtjeje. </w:t>
      </w:r>
      <w:r w:rsidRPr="00CB5623">
        <w:rPr>
          <w:rFonts w:ascii="Times New Roman" w:hAnsi="Times New Roman" w:cs="Times New Roman"/>
          <w:b/>
          <w:i/>
          <w:sz w:val="24"/>
          <w:szCs w:val="24"/>
        </w:rPr>
        <w:t>Kjo konfirmoi ndryshimin e praktikës së vërejtur që nga rihapja e kufijve në qershor 2020, me të cilën referimet në procedurat e azilit nuk zbatohen. Qasja në procedurat e azilit duhet të rikthehet.</w:t>
      </w:r>
    </w:p>
    <w:p w:rsidR="008F395D" w:rsidRPr="008F395D" w:rsidRDefault="008F395D" w:rsidP="008F395D">
      <w:pPr>
        <w:jc w:val="both"/>
        <w:rPr>
          <w:rFonts w:ascii="Times New Roman" w:hAnsi="Times New Roman" w:cs="Times New Roman"/>
          <w:sz w:val="24"/>
          <w:szCs w:val="24"/>
        </w:rPr>
      </w:pPr>
      <w:r w:rsidRPr="00CB5623">
        <w:rPr>
          <w:rFonts w:ascii="Times New Roman" w:hAnsi="Times New Roman" w:cs="Times New Roman"/>
          <w:b/>
          <w:i/>
          <w:sz w:val="24"/>
          <w:szCs w:val="24"/>
        </w:rPr>
        <w:t>Meqenëse shumica e azilkërkuesve largohen nga vendi pas disa ditësh, shumica e kërkesave për azil nuk ndiqen</w:t>
      </w:r>
      <w:r w:rsidRPr="008F395D">
        <w:rPr>
          <w:rFonts w:ascii="Times New Roman" w:hAnsi="Times New Roman" w:cs="Times New Roman"/>
          <w:sz w:val="24"/>
          <w:szCs w:val="24"/>
        </w:rPr>
        <w:t>. Në vitin 2021, u depozituan zyrtarisht nëntë aplikime. Asnjë aplikanti nuk i`u dha statusi i refugjatit, por shtatë perj tyre i`u dha mbrojtje plotësuese.</w:t>
      </w:r>
    </w:p>
    <w:p w:rsidR="008F395D" w:rsidRPr="00CB5623" w:rsidRDefault="008F395D" w:rsidP="008F395D">
      <w:pPr>
        <w:jc w:val="both"/>
        <w:rPr>
          <w:rFonts w:ascii="Times New Roman" w:hAnsi="Times New Roman" w:cs="Times New Roman"/>
          <w:b/>
          <w:i/>
          <w:sz w:val="24"/>
          <w:szCs w:val="24"/>
        </w:rPr>
      </w:pPr>
      <w:r w:rsidRPr="00CB5623">
        <w:rPr>
          <w:rFonts w:ascii="Times New Roman" w:hAnsi="Times New Roman" w:cs="Times New Roman"/>
          <w:b/>
          <w:i/>
          <w:sz w:val="24"/>
          <w:szCs w:val="24"/>
        </w:rPr>
        <w:t>Sa i përket procedurës së azilit, kapacitetet e Policisë Kufitare dhe të Migracionit për të identifikuar personat me nevoja specifike mbeten të pamjaftueshme</w:t>
      </w:r>
      <w:r w:rsidRPr="008F395D">
        <w:rPr>
          <w:rFonts w:ascii="Times New Roman" w:hAnsi="Times New Roman" w:cs="Times New Roman"/>
          <w:sz w:val="24"/>
          <w:szCs w:val="24"/>
        </w:rPr>
        <w:t xml:space="preserve">. Drejtoria për Azilin, të Huajt dhe Shtetësinë gjithashtu ka </w:t>
      </w:r>
      <w:r w:rsidRPr="00CB5623">
        <w:rPr>
          <w:rFonts w:ascii="Times New Roman" w:hAnsi="Times New Roman" w:cs="Times New Roman"/>
          <w:b/>
          <w:i/>
          <w:sz w:val="24"/>
          <w:szCs w:val="24"/>
        </w:rPr>
        <w:t>nevojë për kapacitete dhe trajnime për vlerësimin e kërkesave individuale, veçanërisht informacione për vendin e origjinës dhe rastet që përfshijnë  kategoritë më vulnerable. Mungesa e përkthyesve të kualifikuar në qendrat e pritjes së përkohshme gjatë dhe pas ekzaminimit paraprak duhet të trajtohet dhe të inkurajohet punësimi i përkthyesve femra për të rritur raportimin për dhunën dhe për rastet e mundshme të trafikimit. Një udhëzim paraprak i cili është në rishikim për të siguruar koherencë me kuadrin ligjor ekzistues duhet të miratohet me shpejtësi.</w:t>
      </w:r>
    </w:p>
    <w:p w:rsidR="008F395D" w:rsidRPr="00CB5623" w:rsidRDefault="008F395D" w:rsidP="008F395D">
      <w:pPr>
        <w:jc w:val="both"/>
        <w:rPr>
          <w:rFonts w:ascii="Times New Roman" w:hAnsi="Times New Roman" w:cs="Times New Roman"/>
          <w:b/>
          <w:i/>
          <w:sz w:val="24"/>
          <w:szCs w:val="24"/>
        </w:rPr>
      </w:pPr>
      <w:r w:rsidRPr="00CB5623">
        <w:rPr>
          <w:rFonts w:ascii="Times New Roman" w:hAnsi="Times New Roman" w:cs="Times New Roman"/>
          <w:b/>
          <w:i/>
          <w:sz w:val="24"/>
          <w:szCs w:val="24"/>
        </w:rPr>
        <w:t>Mangësitë kanë mbetur në zbatimin e procedurave të kthimit në kufirin me Greqinë dhe ato d</w:t>
      </w:r>
      <w:r w:rsidR="00CB5623">
        <w:rPr>
          <w:rFonts w:ascii="Times New Roman" w:hAnsi="Times New Roman" w:cs="Times New Roman"/>
          <w:b/>
          <w:i/>
          <w:sz w:val="24"/>
          <w:szCs w:val="24"/>
        </w:rPr>
        <w:t xml:space="preserve">uhet që të adresohen. </w:t>
      </w:r>
      <w:r w:rsidRPr="008F395D">
        <w:rPr>
          <w:rFonts w:ascii="Times New Roman" w:hAnsi="Times New Roman" w:cs="Times New Roman"/>
          <w:sz w:val="24"/>
          <w:szCs w:val="24"/>
        </w:rPr>
        <w:t xml:space="preserve">Monitorimi i shtuar nga Zyra e Avokatit te Popullit në zonat kufitare dhe angazhimi i tyre me Policinë Kufitare dhe të Migracionit mbi gjetjet e tyre përforcon qasjen e </w:t>
      </w:r>
      <w:r w:rsidRPr="008F395D">
        <w:rPr>
          <w:rFonts w:ascii="Times New Roman" w:hAnsi="Times New Roman" w:cs="Times New Roman"/>
          <w:sz w:val="24"/>
          <w:szCs w:val="24"/>
        </w:rPr>
        <w:lastRenderedPageBreak/>
        <w:t>bazuar në të drejtat e</w:t>
      </w:r>
      <w:r w:rsidR="00CB5623">
        <w:rPr>
          <w:rFonts w:ascii="Times New Roman" w:hAnsi="Times New Roman" w:cs="Times New Roman"/>
          <w:sz w:val="24"/>
          <w:szCs w:val="24"/>
        </w:rPr>
        <w:t xml:space="preserve"> Shqipërisë ndaj azilkërkuesve.</w:t>
      </w:r>
      <w:r w:rsidRPr="008F395D">
        <w:rPr>
          <w:rFonts w:ascii="Times New Roman" w:hAnsi="Times New Roman" w:cs="Times New Roman"/>
          <w:sz w:val="24"/>
          <w:szCs w:val="24"/>
        </w:rPr>
        <w:t>Statusi i rreth 2 700 iranianëve (nga Muxhahedinët e Popullit të Iranit) të zhvendosur në Shqipëri në vitet 2015 dhe 2016 ende nuk është vendosur. Ata aktualisht kanë leje qëndrimi të përkohshme për arsye humanitare.</w:t>
      </w:r>
    </w:p>
    <w:p w:rsidR="008F395D" w:rsidRPr="008F395D" w:rsidRDefault="008F395D" w:rsidP="008F395D">
      <w:pPr>
        <w:jc w:val="both"/>
        <w:rPr>
          <w:rFonts w:ascii="Times New Roman" w:eastAsia="Calibri" w:hAnsi="Times New Roman" w:cs="Times New Roman"/>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Politika e vizave</w:t>
      </w:r>
    </w:p>
    <w:p w:rsidR="008F395D" w:rsidRPr="00CB5623" w:rsidRDefault="008F395D" w:rsidP="008F395D">
      <w:pPr>
        <w:jc w:val="both"/>
        <w:rPr>
          <w:rFonts w:ascii="Times New Roman" w:hAnsi="Times New Roman" w:cs="Times New Roman"/>
          <w:b/>
          <w:i/>
          <w:color w:val="FF0000"/>
          <w:sz w:val="24"/>
          <w:szCs w:val="24"/>
        </w:rPr>
      </w:pPr>
      <w:r w:rsidRPr="008F395D">
        <w:rPr>
          <w:rFonts w:ascii="Times New Roman" w:hAnsi="Times New Roman" w:cs="Times New Roman"/>
          <w:sz w:val="24"/>
          <w:szCs w:val="24"/>
        </w:rPr>
        <w:t xml:space="preserve">Raporti i katërt i Komisionit në gusht 2021 nën mekanizmin e pezullimit të vizave arriti në përfundimin se Shqipëria vazhdon të përmbushë kërkesat për liberalizimin e vizave. </w:t>
      </w:r>
      <w:r w:rsidRPr="00CB5623">
        <w:rPr>
          <w:rFonts w:ascii="Times New Roman" w:hAnsi="Times New Roman" w:cs="Times New Roman"/>
          <w:b/>
          <w:i/>
          <w:sz w:val="24"/>
          <w:szCs w:val="24"/>
        </w:rPr>
        <w:t xml:space="preserve">Politika e vizave e Shqipërise nuk është ende plotësisht në përputhje me atë të BE-së, për sa i përket listës së vendeve, shtetasit e të cilëve kërkojnë vizë hyrjeje. </w:t>
      </w:r>
      <w:r w:rsidRPr="008F395D">
        <w:rPr>
          <w:rFonts w:ascii="Times New Roman" w:hAnsi="Times New Roman" w:cs="Times New Roman"/>
          <w:sz w:val="24"/>
          <w:szCs w:val="24"/>
        </w:rPr>
        <w:t xml:space="preserve">Shqipëria ka marrëveshje pa viza gjatë gjithë vitit me Armeninë, Azerbajxhanin, Bjellorusinë, Kinën, Guajanën, Kazakistanin, Kuvajtin dhe Turqinë, të cilat nuk janë në listën pa viza të BE-së. Në dhjetor 2021, Shqipëria rishikoi vendimin për t'u dhënë akses pa viza shtetasve të vendeve të treta që janë rezidentë në Emiratet e Bashkuara Arabe (EBA) duke lejuar akses vetëm për ata me leje qëndrimi dhjetë vjeçare në Emiratet e Bashkuara Arabe Shtetasit nga Bahreini, Egjipti, India, Omani, Katari, Rusia, Arabia Saudite dhe Tajlanda, të cilët kanë nevojë për vizë për të udhëtuar në BE, ende përfitojnë nga heqja e vizave sezonale. Kjo zgjat nga 30 shtatori deri në fund të vitit 2022, me përjashtim të Egjiptit dhe Rusisë. </w:t>
      </w:r>
      <w:r w:rsidRPr="00CB5623">
        <w:rPr>
          <w:rFonts w:ascii="Times New Roman" w:hAnsi="Times New Roman" w:cs="Times New Roman"/>
          <w:b/>
          <w:i/>
          <w:color w:val="FF0000"/>
          <w:sz w:val="24"/>
          <w:szCs w:val="24"/>
        </w:rPr>
        <w:t>Në përgjithësi, praktika e heqjes së përkohshme të kërkesës për vizë nuk është në përputhje me acquis të BE-së.</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Sipas të dhënave të Eurostat-it, numri i shtetasve shqiptarë që aplikojnë për azil në shtetet anëtare të BE-së u rrit me 63% në vitin 2021 krahasuar me vitin 2020, nga 6 925 në 11 300 aplikime, por mbetet nën nivelin para pandemisë (20 415 në 2019). Ky trend i mprehtë në rritje filloi në korrik 2021, që korrespondon me heqjen e kufizimeve të udhëtimit në BE lidhur kjo me pandeminë COVID-19. Ky trend në rritje ka vijuar edhe në gjysmën e parë të 2022 me 4 995 aplikime të depozituara në periudhën janar-maj. Shkalla e njohjes së azilit u rrit nga 4.5% në 2020 në 5.8% në 2021 (5.2% në 2020 dhe 9.0% në 2021 duke përfshirë statusin humanitar)</w:t>
      </w:r>
      <w:r w:rsidR="00CB5623">
        <w:rPr>
          <w:rFonts w:ascii="Times New Roman" w:hAnsi="Times New Roman" w:cs="Times New Roman"/>
          <w:sz w:val="24"/>
          <w:szCs w:val="24"/>
        </w:rPr>
        <w:t>.</w:t>
      </w:r>
    </w:p>
    <w:p w:rsidR="008F395D" w:rsidRPr="00CB5623" w:rsidRDefault="008F395D" w:rsidP="008F395D">
      <w:pPr>
        <w:jc w:val="both"/>
        <w:rPr>
          <w:rFonts w:ascii="Times New Roman" w:hAnsi="Times New Roman" w:cs="Times New Roman"/>
          <w:b/>
          <w:color w:val="FF0000"/>
          <w:sz w:val="24"/>
          <w:szCs w:val="24"/>
        </w:rPr>
      </w:pPr>
      <w:r w:rsidRPr="008F395D">
        <w:rPr>
          <w:rFonts w:ascii="Times New Roman" w:hAnsi="Times New Roman" w:cs="Times New Roman"/>
          <w:sz w:val="24"/>
          <w:szCs w:val="24"/>
        </w:rPr>
        <w:t xml:space="preserve">Në vitin 2021, 4 611 shtetas shqiptarë i`u refuzuan leja qe të dalin nga territori shqiptar në pikat kufitare, krahasuar me 6 180 në vitin 2020. Kjo rënie me 25% mund t'i atribuohet rritjes së ndërgjegjësimit të popullsisë për masa e marra. </w:t>
      </w:r>
      <w:r w:rsidRPr="00CB5623">
        <w:rPr>
          <w:rFonts w:ascii="Times New Roman" w:hAnsi="Times New Roman" w:cs="Times New Roman"/>
          <w:b/>
          <w:i/>
          <w:sz w:val="24"/>
          <w:szCs w:val="24"/>
        </w:rPr>
        <w:t>Përtej kontrolleve të plota kufitare, fushatat ndërgjegjësuese për të drejtat dhe detyrimet nën regjimin pa viza dhe adresimin e arsyeve themelore, duhet qe të vazhdojë dialogu dhe nje bashkëpunim i strukturuar përmes zbatimit të planeve të veprimit me vendet më të prekura të BE-s</w:t>
      </w:r>
      <w:r w:rsidRPr="008F395D">
        <w:rPr>
          <w:rFonts w:ascii="Times New Roman" w:hAnsi="Times New Roman" w:cs="Times New Roman"/>
          <w:sz w:val="24"/>
          <w:szCs w:val="24"/>
        </w:rPr>
        <w:t xml:space="preserve">ë. </w:t>
      </w:r>
      <w:r w:rsidRPr="00CB5623">
        <w:rPr>
          <w:rFonts w:ascii="Times New Roman" w:hAnsi="Times New Roman" w:cs="Times New Roman"/>
          <w:b/>
          <w:color w:val="FF0000"/>
          <w:sz w:val="24"/>
          <w:szCs w:val="24"/>
        </w:rPr>
        <w:t>Komisioni po monitoron nga afër trendin në kuadër të mekanizmit të pezullimit të vizave.</w:t>
      </w:r>
    </w:p>
    <w:p w:rsidR="008F395D" w:rsidRPr="00CB5623" w:rsidRDefault="008F395D" w:rsidP="008F395D">
      <w:pPr>
        <w:jc w:val="both"/>
        <w:rPr>
          <w:rFonts w:ascii="Times New Roman" w:hAnsi="Times New Roman" w:cs="Times New Roman"/>
          <w:b/>
          <w:i/>
          <w:sz w:val="24"/>
          <w:szCs w:val="24"/>
        </w:rPr>
      </w:pPr>
      <w:r w:rsidRPr="00CB5623">
        <w:rPr>
          <w:rFonts w:ascii="Times New Roman" w:hAnsi="Times New Roman" w:cs="Times New Roman"/>
          <w:b/>
          <w:i/>
          <w:color w:val="FF0000"/>
          <w:sz w:val="24"/>
          <w:szCs w:val="24"/>
        </w:rPr>
        <w:t>Të miturit e pashoqëruar që udhëtojnë nga Shqipëria drejt vendeve anëtare të BE-së mbeten një burim shqetësimi</w:t>
      </w:r>
      <w:r w:rsidRPr="008F395D">
        <w:rPr>
          <w:rFonts w:ascii="Times New Roman" w:hAnsi="Times New Roman" w:cs="Times New Roman"/>
          <w:sz w:val="24"/>
          <w:szCs w:val="24"/>
        </w:rPr>
        <w:t xml:space="preserve">. </w:t>
      </w:r>
      <w:r w:rsidRPr="00CB5623">
        <w:rPr>
          <w:rFonts w:ascii="Times New Roman" w:hAnsi="Times New Roman" w:cs="Times New Roman"/>
          <w:b/>
          <w:i/>
          <w:sz w:val="24"/>
          <w:szCs w:val="24"/>
        </w:rPr>
        <w:t>Vëmendje më e madhe duhet t'i kushtohet riintegrimit të suksesshëm të të kthyerve, veçanërisht grupeve më vulnerable, si romët dhe egjiptianët, ku nuk u ndërmorën veprime të dukshme në vitin 2021. Sportelet e migracionit të ngritura në komuna duhet të zyrtarizohen dhe forcohen për të lehtësuar riintegrimin e tyre dhe më shumë oficerë policie duhet të vazhdojnë të trajnohen për shoqërimin e të kthyerve në Shqipëri.</w:t>
      </w:r>
    </w:p>
    <w:p w:rsidR="008F395D" w:rsidRPr="008F395D" w:rsidRDefault="008F395D" w:rsidP="008F395D">
      <w:pPr>
        <w:jc w:val="both"/>
        <w:rPr>
          <w:rFonts w:ascii="Times New Roman" w:hAnsi="Times New Roman" w:cs="Times New Roman"/>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lastRenderedPageBreak/>
        <w:t>Shengen dhe kufijtë e jashtëm</w:t>
      </w:r>
    </w:p>
    <w:p w:rsidR="008F395D" w:rsidRPr="008F395D" w:rsidRDefault="008F395D" w:rsidP="008F395D">
      <w:pPr>
        <w:jc w:val="both"/>
        <w:rPr>
          <w:rFonts w:ascii="Times New Roman" w:hAnsi="Times New Roman" w:cs="Times New Roman"/>
          <w:sz w:val="24"/>
          <w:szCs w:val="24"/>
          <w:u w:val="single"/>
        </w:rPr>
      </w:pPr>
      <w:r w:rsidRPr="008F395D">
        <w:rPr>
          <w:rFonts w:ascii="Times New Roman" w:hAnsi="Times New Roman" w:cs="Times New Roman"/>
          <w:sz w:val="24"/>
          <w:szCs w:val="24"/>
          <w:u w:val="single"/>
        </w:rPr>
        <w:t>Organizimi institucional dhe harmonizimi ligjor</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Ligji për Kontrollin Kufitar që prezanton Informacionin Paraprak të Pasagjerëve dhe Regjistrimin e Emrit të Pasagjerëve (PNR) </w:t>
      </w:r>
      <w:r w:rsidRPr="00CB5623">
        <w:rPr>
          <w:rFonts w:ascii="Times New Roman" w:hAnsi="Times New Roman" w:cs="Times New Roman"/>
          <w:b/>
          <w:color w:val="FF0000"/>
          <w:sz w:val="24"/>
          <w:szCs w:val="24"/>
        </w:rPr>
        <w:t>në legjislacionin shqiptar nuk është në përputhje me acquis të BE-</w:t>
      </w:r>
      <w:r w:rsidRPr="008F395D">
        <w:rPr>
          <w:rFonts w:ascii="Times New Roman" w:hAnsi="Times New Roman" w:cs="Times New Roman"/>
          <w:sz w:val="24"/>
          <w:szCs w:val="24"/>
        </w:rPr>
        <w:t>së. Një njësi për informimin e pasagjerëve u krijua në shkurt 2022 pranë Policisë së Shtetit Shqiptar. Autoritetet shqiptare janë të vetëdijshme se transferimi i të dhënave PNR nga BE në Shqipëri nuk është i mundur me kuadrin ligjor aktual. Kuadri legjislativ për menaxhimin e kufijve të jashtëm të Shqipërisë nuk është ende plotësisht në përputhje me standarded e BE-së, ndërkohë që strategjia e saj IBM 2021-2027 dhe plani i veprimit 2021-2023 janë në përputhje të gjerë.</w:t>
      </w:r>
    </w:p>
    <w:p w:rsidR="008F395D" w:rsidRPr="008F395D" w:rsidRDefault="008F395D" w:rsidP="008F395D">
      <w:pPr>
        <w:jc w:val="both"/>
        <w:rPr>
          <w:rFonts w:ascii="Times New Roman" w:eastAsia="Times New Roman" w:hAnsi="Times New Roman" w:cs="Times New Roman"/>
          <w:noProof/>
          <w:color w:val="385623" w:themeColor="accent6" w:themeShade="80"/>
          <w:sz w:val="24"/>
          <w:szCs w:val="24"/>
        </w:rPr>
      </w:pP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Implementimi dhe Kapaciteti zbatues </w:t>
      </w:r>
    </w:p>
    <w:p w:rsidR="008F395D" w:rsidRPr="00CB5623" w:rsidRDefault="008F395D" w:rsidP="008F395D">
      <w:pPr>
        <w:jc w:val="both"/>
        <w:rPr>
          <w:rFonts w:ascii="Times New Roman" w:hAnsi="Times New Roman" w:cs="Times New Roman"/>
          <w:b/>
          <w:i/>
          <w:sz w:val="24"/>
          <w:szCs w:val="24"/>
        </w:rPr>
      </w:pPr>
      <w:r w:rsidRPr="008F395D">
        <w:rPr>
          <w:rFonts w:ascii="Times New Roman" w:hAnsi="Times New Roman" w:cs="Times New Roman"/>
          <w:sz w:val="24"/>
          <w:szCs w:val="24"/>
        </w:rPr>
        <w:t xml:space="preserve">BE-ja po ndihmon Shqipërinë në ndërtimin e një sistemi radar të integruar për mbikëqyrjen e kufirit ‘blu’ (detar). Shqipëria është angazhuar të investojë burime të konsiderueshme për të modernizuar infrastrukturën kufitare dhe për të përmirësuar mbikëqyrjen e kufijve "të gjelbër" (tokësor) dhe "blu". Sistemi total i bazës së të dhënave të sistemit të menaxhimit të informacionit është i lidhur me sistemin e Interpolit, duke i mundësuar policisë kufitare të identifikojë personat e kërkuar ndërkombëtarisht, automjetet e vjedhura dhe dokumentet e humbura/vjedhura të udhëtimit. </w:t>
      </w:r>
      <w:r w:rsidRPr="00CB5623">
        <w:rPr>
          <w:rFonts w:ascii="Times New Roman" w:hAnsi="Times New Roman" w:cs="Times New Roman"/>
          <w:b/>
          <w:i/>
          <w:sz w:val="24"/>
          <w:szCs w:val="24"/>
        </w:rPr>
        <w:t>Shqipëria duhet të krijojë një sistem të analizës së rrezikut bazuar në modelin e përbashkët të analizës së integruar të rrezikut të zhvilluar nga Frontex.</w:t>
      </w:r>
    </w:p>
    <w:p w:rsidR="008F395D" w:rsidRPr="00CB5623" w:rsidRDefault="008F395D" w:rsidP="008F395D">
      <w:pPr>
        <w:jc w:val="both"/>
        <w:rPr>
          <w:rFonts w:ascii="Times New Roman" w:hAnsi="Times New Roman" w:cs="Times New Roman"/>
          <w:b/>
          <w:i/>
          <w:sz w:val="24"/>
          <w:szCs w:val="24"/>
        </w:rPr>
      </w:pPr>
      <w:r w:rsidRPr="008F395D">
        <w:rPr>
          <w:rFonts w:ascii="Times New Roman" w:hAnsi="Times New Roman" w:cs="Times New Roman"/>
          <w:sz w:val="24"/>
          <w:szCs w:val="24"/>
        </w:rPr>
        <w:t xml:space="preserve">Bashkëpunimi ndërmjet agjencive vazhdon të përmirësohet. Marina, Roja Bregdetare dhe Policia e Kufirit dhe Migracionit kryejne patrullime të rregullta të përbashkëta dhe të integruara kufitare ‘blu’. Policia e Shtetit Shqiptar dhe Drejtoria e Përgjithshme e Doganave nënshkruan në prill 2022 një urdhër të përbashkët për forcimin e inspektimeve të përbashkëta me qëllim goditjen e trafikut të narkotikëve, kontrabandës dhe krimeve të tjera ndërkufitare. </w:t>
      </w:r>
      <w:r w:rsidRPr="00CB5623">
        <w:rPr>
          <w:rFonts w:ascii="Times New Roman" w:hAnsi="Times New Roman" w:cs="Times New Roman"/>
          <w:b/>
          <w:i/>
          <w:sz w:val="24"/>
          <w:szCs w:val="24"/>
        </w:rPr>
        <w:t>Kompetencat hetimore të policisë kufitare duhet të forcohen, veçanërisht për të zbuluar rastet e kontrabandës dhe trafikimit të qenieve njerëzore.</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Shqipëria mori pjesë aktive në Rrjetin e Analizës së Riskut të Ballkanit Perëndimor. Bashkëpunimi operacional me vendet fqinje vijon të jetë i mirë, ndërsa bashkëpunimi dypalësh duhet të rritet më tej. Marrëveshja me Greqinë për krijimin e një qendre bashkëpunimi policor dhe doganore në anën greke të kufirit u ratifikua nga Shqipëria në shkurt 2022. </w:t>
      </w:r>
      <w:r w:rsidRPr="00CB5623">
        <w:rPr>
          <w:rFonts w:ascii="Times New Roman" w:hAnsi="Times New Roman" w:cs="Times New Roman"/>
          <w:b/>
          <w:i/>
          <w:sz w:val="24"/>
          <w:szCs w:val="24"/>
        </w:rPr>
        <w:t>Shqipëria duhet të sigurojë që sistemi PISCES i sponsorizuar nga SHBA për identifikimin personal të funksionojë në përputhje me acquis te BE-së për mbrojtjen e të dhënave personale</w:t>
      </w:r>
      <w:r w:rsidRPr="008F395D">
        <w:rPr>
          <w:rFonts w:ascii="Times New Roman" w:hAnsi="Times New Roman" w:cs="Times New Roman"/>
          <w:sz w:val="24"/>
          <w:szCs w:val="24"/>
        </w:rPr>
        <w:t>. Në vitin 2021, Departamenti për Kufirin dhe Migracionin lëshoi ​​16 masa të rënda disiplinore ndaj policisë kufitare për korrupsion dhe shpërdorim detyre, pak më shumë se në vitin 2020.</w:t>
      </w:r>
    </w:p>
    <w:p w:rsidR="008F395D" w:rsidRDefault="008F395D" w:rsidP="008F395D">
      <w:pPr>
        <w:jc w:val="both"/>
        <w:rPr>
          <w:rFonts w:ascii="Times New Roman" w:hAnsi="Times New Roman" w:cs="Times New Roman"/>
          <w:sz w:val="24"/>
          <w:szCs w:val="24"/>
        </w:rPr>
      </w:pPr>
    </w:p>
    <w:p w:rsidR="007F4584" w:rsidRPr="008F395D" w:rsidRDefault="007F4584" w:rsidP="008F395D">
      <w:pPr>
        <w:jc w:val="both"/>
        <w:rPr>
          <w:rFonts w:ascii="Times New Roman" w:hAnsi="Times New Roman" w:cs="Times New Roman"/>
          <w:sz w:val="24"/>
          <w:szCs w:val="24"/>
        </w:rPr>
      </w:pP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2.3. KRITERET EKONOMIKE</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noProof/>
          <w:sz w:val="24"/>
          <w:szCs w:val="24"/>
        </w:rPr>
        <w:lastRenderedPageBreak/>
        <w:drawing>
          <wp:inline distT="0" distB="0" distL="0" distR="0" wp14:anchorId="72BAC72A" wp14:editId="02778382">
            <wp:extent cx="5943600" cy="39706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70655"/>
                    </a:xfrm>
                    <a:prstGeom prst="rect">
                      <a:avLst/>
                    </a:prstGeom>
                    <a:noFill/>
                    <a:ln>
                      <a:noFill/>
                    </a:ln>
                  </pic:spPr>
                </pic:pic>
              </a:graphicData>
            </a:graphic>
          </wp:inline>
        </w:drawing>
      </w:r>
    </w:p>
    <w:p w:rsidR="008F395D" w:rsidRPr="008F395D" w:rsidRDefault="008F395D" w:rsidP="008F395D">
      <w:pPr>
        <w:jc w:val="both"/>
        <w:rPr>
          <w:rFonts w:ascii="Times New Roman" w:hAnsi="Times New Roman" w:cs="Times New Roman"/>
          <w:i/>
          <w:sz w:val="24"/>
          <w:szCs w:val="24"/>
        </w:rPr>
      </w:pPr>
      <w:r w:rsidRPr="008F395D">
        <w:rPr>
          <w:rFonts w:ascii="Times New Roman" w:hAnsi="Times New Roman" w:cs="Times New Roman"/>
          <w:sz w:val="24"/>
          <w:szCs w:val="24"/>
        </w:rPr>
        <w:t>“</w:t>
      </w:r>
      <w:r w:rsidRPr="008F395D">
        <w:rPr>
          <w:rFonts w:ascii="Times New Roman" w:hAnsi="Times New Roman" w:cs="Times New Roman"/>
          <w:i/>
          <w:sz w:val="24"/>
          <w:szCs w:val="24"/>
        </w:rPr>
        <w:t>Në përputhje me konkluzionet e Këshillit Evropian në Kopenhagen në Qershor 1993, anëtarësimi në BE kërkon ekzistencën e një ekonomie tregu funksionale dhe kapacitetin për të përballuar presionin konkurrues dhe forcat e tregut brenda Unionit.</w:t>
      </w:r>
      <w:r>
        <w:rPr>
          <w:rFonts w:ascii="Times New Roman" w:hAnsi="Times New Roman" w:cs="Times New Roman"/>
          <w:i/>
          <w:sz w:val="24"/>
          <w:szCs w:val="24"/>
        </w:rPr>
        <w:t xml:space="preserve"> </w:t>
      </w:r>
      <w:r w:rsidRPr="008F395D">
        <w:rPr>
          <w:rFonts w:ascii="Times New Roman" w:hAnsi="Times New Roman" w:cs="Times New Roman"/>
          <w:i/>
          <w:sz w:val="24"/>
          <w:szCs w:val="24"/>
        </w:rPr>
        <w:t xml:space="preserve">Qeverisja ekonomike është bërë edhe më qendrore me procesin e zgjerimit vitet e fundit. Monitorimi i Komisionit zhvillohet në dy procese: ushtrimi i Programit të Reformës Ekonomike dhe vlerësimi i mëposhtëm i përputhshmërisë me kriteret ekonomike për anëtarësim. Çdo vend i </w:t>
      </w:r>
      <w:r>
        <w:rPr>
          <w:rFonts w:ascii="Times New Roman" w:hAnsi="Times New Roman" w:cs="Times New Roman"/>
          <w:i/>
          <w:sz w:val="24"/>
          <w:szCs w:val="24"/>
        </w:rPr>
        <w:t>cili deshiron te anetaresohet pergatit</w:t>
      </w:r>
      <w:r w:rsidRPr="008F395D">
        <w:rPr>
          <w:rFonts w:ascii="Times New Roman" w:hAnsi="Times New Roman" w:cs="Times New Roman"/>
          <w:i/>
          <w:sz w:val="24"/>
          <w:szCs w:val="24"/>
        </w:rPr>
        <w:t xml:space="preserve"> një Program të Reformës Ekonomike (ERP) çdo vit, i cili përcakton një kornizë afatmesme të politikës makro-fiskale dhe një axhendë reformash strukturore që synon të sigurojë konkurrencë dhe rritje ekonomike gjithëpërfshirëse. ERP-të janë baza për udhëzimet e politikave specifike për një vend, të miratuara bashkarisht nga BE-ja dhe Ballkani Perëndimor si dhe Turqia në nivel ministror në maj të çdo viti”</w:t>
      </w:r>
      <w:r w:rsidRPr="008F395D">
        <w:rPr>
          <w:rFonts w:ascii="Times New Roman" w:hAnsi="Times New Roman" w:cs="Times New Roman"/>
          <w:sz w:val="24"/>
          <w:szCs w:val="24"/>
        </w:rPr>
        <w:t>.</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Në përputhje me konkluzionet e Këshillit Evropian në Kopenhagen në Qershor 1993, anëtarësimi në BE kërkon ekzistencën e një ekonomie tregu funksionale dhe kapacitetin për të përballuar presionin konkurrues dhe forcat e tregut brenda Bashkimit.</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Qeverisja ekonomike është bërë edhe më qendrore në procesin e zgjerimit vitet e fundit. Monitorimi i Komisionit zhvillohet në dy procese: ushtrimi i Programit të Reformës Ekonomike dhe vlerësimi i mëposhtëm i përputhshmërisë me kriteret ekonomike për anëtarësim. Çdo vend i cili deshiron te anetaresohet përgatit një Program të Reformës Ekonomike (ERP) çdo vit, i cili përcakton një kornizë afatmesme të politikës makro-fiskale dhe një axhendë reformash strukturore që synon të sigurojë konkurrencë dhe rritje ekonomike gjithëpërfshirëse. ERP-të janë baza për </w:t>
      </w:r>
      <w:r w:rsidRPr="008F395D">
        <w:rPr>
          <w:rFonts w:ascii="Times New Roman" w:hAnsi="Times New Roman" w:cs="Times New Roman"/>
          <w:sz w:val="24"/>
          <w:szCs w:val="24"/>
        </w:rPr>
        <w:lastRenderedPageBreak/>
        <w:t>udhëzimet e politikave specifike për një vend, të miratuara bashkërisht nga BE-ja dhe Ballkani Perëndimor dhe Turqia në nivel ministror në maj të çdo viti.</w:t>
      </w:r>
    </w:p>
    <w:p w:rsidR="008F395D" w:rsidRPr="008F395D" w:rsidRDefault="008F395D" w:rsidP="008F395D">
      <w:pPr>
        <w:tabs>
          <w:tab w:val="left" w:pos="1440"/>
        </w:tabs>
        <w:jc w:val="both"/>
        <w:rPr>
          <w:rFonts w:ascii="Times New Roman" w:hAnsi="Times New Roman" w:cs="Times New Roman"/>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2.3.1. Ekzistenca e një ekonomie tregu funksionale</w:t>
      </w:r>
    </w:p>
    <w:p w:rsidR="008F395D" w:rsidRPr="008F395D" w:rsidRDefault="008F395D" w:rsidP="008F395D">
      <w:pPr>
        <w:shd w:val="clear" w:color="auto" w:fill="AEAAAA" w:themeFill="background2" w:themeFillShade="BF"/>
        <w:jc w:val="both"/>
        <w:rPr>
          <w:rFonts w:ascii="Times New Roman" w:hAnsi="Times New Roman" w:cs="Times New Roman"/>
          <w:sz w:val="24"/>
          <w:szCs w:val="24"/>
        </w:rPr>
      </w:pPr>
      <w:r w:rsidRPr="008F395D">
        <w:rPr>
          <w:rFonts w:ascii="Times New Roman" w:hAnsi="Times New Roman" w:cs="Times New Roman"/>
          <w:sz w:val="24"/>
          <w:szCs w:val="24"/>
        </w:rPr>
        <w:t xml:space="preserve">Shqipëria ka bërë progres të mirë dhe është mesatarisht e përgatitur për zhvillimin e një ekonomie tregu funksionale. E mbështetur nga një përzierje e gjerë politikash te përshtatshme, ekonomia shqiptare tregoi elasticitet dhe u rimëkëmb më shpejt se sa pritej në 2021, duke kompensuar shumicën e humbjeve ekonomike të shkaktuara nga pandemia COVID-19. Lufta e Rusisë kundër Ukrainës ka goditur ekonominë shqiptare në mënyrë indirekte përmes çmimeve më të larta të mallrave dhe rritjes më të ulët në partnerët e saj kryesorë tregtarë të BE-së, por nuk u përkthye në një ndikim negativ në rritjen ekonomike të tremujorit të parë të 2022. Megjithatë, rrisqet janë qartazi përpara. Deficiti buxhetor dhe raporti i borxhit publik u rritën më pak se sa ishte parashikuar në vitin 2021, por hapësira fiskale mbetet e kufizuar, duke rritur cenueshmërinë e vendit ndaj goditjeve të jashtme. Ka pasur progres të mirë në reformat e lidhura me të ardhurat, por dobësitë vazhdojnë në planifikimin dhe ekzekutimin e shpenzimeve për investime. Përdorimi i rregullt i akteve normative për rishikime të shpeshta të buxhetit dhe ligjit të buxhetit dobëson besueshmërinë fiskale. Inflacioni është rritur mbi objektivin, gjë që e shtyu Bankën Qendrore të rrisë normën bazë në disa hapa. Mjedisi i biznesit përfitoi nga një nivel më i lartë i dixhitalizimit të shërbimeve publike. Kjo gjithashtu kontribuon në formalizimin e ekonomisë, së bashku me rritjen e përfshirjes financiare dhe aktiviteteve të suksesshme për të reduktuar punën e nën-raportuar, megjithëse një pjesë e madhe e ekonomisë mbeti informale. </w:t>
      </w:r>
      <w:r w:rsidRPr="008F395D">
        <w:rPr>
          <w:rFonts w:ascii="Times New Roman" w:hAnsi="Times New Roman" w:cs="Times New Roman"/>
          <w:b/>
          <w:i/>
          <w:sz w:val="24"/>
          <w:szCs w:val="24"/>
        </w:rPr>
        <w:t>Konsultimet me publikun nga qeveria nuk u përmirësuan ndjeshëm.</w:t>
      </w:r>
      <w:r w:rsidRPr="008F395D">
        <w:rPr>
          <w:rFonts w:ascii="Times New Roman" w:hAnsi="Times New Roman" w:cs="Times New Roman"/>
          <w:sz w:val="24"/>
          <w:szCs w:val="24"/>
        </w:rPr>
        <w:t xml:space="preserve"> Duke qenë se disa nga rekomandimet e vitit të kaluar për përmirësimin e funksionimit të ekonomisë së tregut nuk u zbatuan plotësisht, në vitin e ardhshëm Shqipëria duhet:</w:t>
      </w:r>
    </w:p>
    <w:p w:rsidR="008F395D" w:rsidRPr="008F395D" w:rsidRDefault="008F395D" w:rsidP="008F395D">
      <w:pPr>
        <w:pStyle w:val="ListParagraph"/>
        <w:numPr>
          <w:ilvl w:val="0"/>
          <w:numId w:val="3"/>
        </w:numPr>
        <w:shd w:val="clear" w:color="auto" w:fill="AEAAAA" w:themeFill="background2" w:themeFillShade="BF"/>
        <w:jc w:val="both"/>
        <w:rPr>
          <w:rFonts w:ascii="Times New Roman" w:hAnsi="Times New Roman" w:cs="Times New Roman"/>
          <w:b/>
          <w:sz w:val="24"/>
          <w:szCs w:val="24"/>
        </w:rPr>
      </w:pPr>
      <w:r w:rsidRPr="008F395D">
        <w:rPr>
          <w:rFonts w:ascii="Times New Roman" w:hAnsi="Times New Roman" w:cs="Times New Roman"/>
          <w:sz w:val="24"/>
          <w:szCs w:val="24"/>
        </w:rPr>
        <w:t xml:space="preserve">që </w:t>
      </w:r>
      <w:r w:rsidRPr="008F395D">
        <w:rPr>
          <w:rFonts w:ascii="Times New Roman" w:hAnsi="Times New Roman" w:cs="Times New Roman"/>
          <w:b/>
          <w:sz w:val="24"/>
          <w:szCs w:val="24"/>
        </w:rPr>
        <w:t>rimëkëmbja ekonomike të jetë e stabilizuar, të parashikohet në planin fiskal afatmesëm një reduktim gradual i raportit të borxhit publik dhe detyrimeve të prapambetura, duke përdorur procesin e rregullt legjislativ gjatë ndryshimit të buxhetit,</w:t>
      </w:r>
    </w:p>
    <w:p w:rsidR="008F395D" w:rsidRPr="008F395D" w:rsidRDefault="008F395D" w:rsidP="008F395D">
      <w:pPr>
        <w:shd w:val="clear" w:color="auto" w:fill="AEAAAA" w:themeFill="background2" w:themeFillShade="BF"/>
        <w:jc w:val="both"/>
        <w:rPr>
          <w:rFonts w:ascii="Times New Roman" w:hAnsi="Times New Roman" w:cs="Times New Roman"/>
          <w:b/>
          <w:sz w:val="24"/>
          <w:szCs w:val="24"/>
        </w:rPr>
      </w:pPr>
      <w:r w:rsidRPr="008F395D">
        <w:rPr>
          <w:rFonts w:ascii="Times New Roman" w:hAnsi="Times New Roman" w:cs="Times New Roman"/>
          <w:b/>
          <w:sz w:val="24"/>
          <w:szCs w:val="24"/>
        </w:rPr>
        <w:sym w:font="Symbol" w:char="F0AE"/>
      </w:r>
      <w:r w:rsidRPr="008F395D">
        <w:rPr>
          <w:rFonts w:ascii="Times New Roman" w:hAnsi="Times New Roman" w:cs="Times New Roman"/>
          <w:b/>
          <w:sz w:val="24"/>
          <w:szCs w:val="24"/>
        </w:rPr>
        <w:t>të implementojë zbatimin e reformës së procedurave të menaxhimit të investimeve publike;</w:t>
      </w:r>
    </w:p>
    <w:p w:rsidR="008F395D" w:rsidRPr="008F395D" w:rsidRDefault="008F395D" w:rsidP="008F395D">
      <w:pPr>
        <w:shd w:val="clear" w:color="auto" w:fill="AEAAAA" w:themeFill="background2" w:themeFillShade="BF"/>
        <w:jc w:val="both"/>
        <w:rPr>
          <w:rFonts w:ascii="Times New Roman" w:hAnsi="Times New Roman" w:cs="Times New Roman"/>
          <w:b/>
          <w:sz w:val="24"/>
          <w:szCs w:val="24"/>
        </w:rPr>
      </w:pPr>
      <w:r w:rsidRPr="008F395D">
        <w:rPr>
          <w:rFonts w:ascii="Times New Roman" w:hAnsi="Times New Roman" w:cs="Times New Roman"/>
          <w:b/>
          <w:sz w:val="24"/>
          <w:szCs w:val="24"/>
        </w:rPr>
        <w:sym w:font="Symbol" w:char="F0AE"/>
      </w:r>
      <w:r w:rsidRPr="008F395D">
        <w:rPr>
          <w:rFonts w:ascii="Times New Roman" w:hAnsi="Times New Roman" w:cs="Times New Roman"/>
          <w:b/>
          <w:sz w:val="24"/>
          <w:szCs w:val="24"/>
        </w:rPr>
        <w:t xml:space="preserve"> të fillojë zbatimin e strategjisë afatmesme të të ardhurave pas konsultimeve të gjera publike dhe të bazuar në një plan operacional.</w:t>
      </w:r>
    </w:p>
    <w:p w:rsidR="008F395D" w:rsidRPr="008F395D" w:rsidRDefault="008F395D" w:rsidP="008F395D">
      <w:pPr>
        <w:spacing w:before="120"/>
        <w:jc w:val="both"/>
        <w:rPr>
          <w:rFonts w:ascii="Times New Roman" w:hAnsi="Times New Roman" w:cs="Times New Roman"/>
          <w:noProof/>
          <w:color w:val="538135" w:themeColor="accent6" w:themeShade="BF"/>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Qeverisja ekonomike</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Shqipëria mbeti e përkushtuar ndaj politikave të orientuara nga stabiliteti, </w:t>
      </w:r>
      <w:r w:rsidRPr="00CB5623">
        <w:rPr>
          <w:rFonts w:ascii="Times New Roman" w:hAnsi="Times New Roman" w:cs="Times New Roman"/>
          <w:b/>
          <w:i/>
          <w:color w:val="FF0000"/>
          <w:sz w:val="24"/>
          <w:szCs w:val="24"/>
        </w:rPr>
        <w:t>por në qeverisjen ekonomike ka ende dobesi .</w:t>
      </w:r>
      <w:r w:rsidRPr="00CB5623">
        <w:rPr>
          <w:rFonts w:ascii="Times New Roman" w:hAnsi="Times New Roman" w:cs="Times New Roman"/>
          <w:color w:val="FF0000"/>
          <w:sz w:val="24"/>
          <w:szCs w:val="24"/>
        </w:rPr>
        <w:t xml:space="preserve"> </w:t>
      </w:r>
      <w:r w:rsidRPr="008F395D">
        <w:rPr>
          <w:rFonts w:ascii="Times New Roman" w:hAnsi="Times New Roman" w:cs="Times New Roman"/>
          <w:sz w:val="24"/>
          <w:szCs w:val="24"/>
        </w:rPr>
        <w:t xml:space="preserve">Pas rritjes së borxhit dhe borxhit publik të Shqipërisë në vitin 2020, për shkak të pandemisë COVID-19, FMN dhe BE dhanë mbështetje financiare për të mbuluar nevojat financiare. Mbështetja e BE-së përfshinte 180 milionë euro asistencë makro-financiare, të cilat u disbursuan plotësisht në vitin 2021 pas përmbushjes nga Shqipëria të kushteve të politikës që i bashkëngjiten asistencës, përfshirë financat publike, qeverisjen e mirë dhe politikën sociale. </w:t>
      </w:r>
      <w:r w:rsidRPr="00CB5623">
        <w:rPr>
          <w:rFonts w:ascii="Times New Roman" w:hAnsi="Times New Roman" w:cs="Times New Roman"/>
          <w:color w:val="FF0000"/>
          <w:sz w:val="24"/>
          <w:szCs w:val="24"/>
        </w:rPr>
        <w:lastRenderedPageBreak/>
        <w:t>Qeveria përdori akte normative në vend të procedurës së rregullt legjislative (i) për të amenduar disa herë buxhetet e 2021 dhe 2022, (ii) për të pezulluar rregullin fiskal që kërkon një ulje të raportit të borxhit dhe (iii) për të shtyrë rregullin e ri të bilancit primar në 2024 .Kjo praktikë, e cila është në kundërshtim me udhëzimet e politikave të miratuara bashkërisht, Shqipëria i zbatoi pjesërisht</w:t>
      </w:r>
      <w:r w:rsidRPr="008F395D">
        <w:rPr>
          <w:rFonts w:ascii="Times New Roman" w:hAnsi="Times New Roman" w:cs="Times New Roman"/>
          <w:sz w:val="24"/>
          <w:szCs w:val="24"/>
        </w:rPr>
        <w:t>. Rindërtimi pas tërmetit përparoi.</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Shqipëria paraqiti Programin e saj të Reformës Ekonomike 2022-2024 në Komisionin Evropian në fund të janarit 2022, në të cilin konfirmoi angazhimin e saj për t'u kthyer në rrugën e saj të konsolidimit fiskal para COVID-19 sapo rimëkëmbja ekonomike të lejojë nje konsolidim te tille dhe nënvizoi planin e saj për të arrire një bilanc primar pozitiv në vitin 2024. Në mars dhe shtator 2022, Shqipëria rishikoi buxhetin e saj për të përballuar koston e lartë të subvencioneve të energjisë dhe mbështetjen sociale të dhënë në lidhje me rritjen e çmimeve në vazhdën e ndikimit të </w:t>
      </w:r>
      <w:r w:rsidR="007F4584">
        <w:rPr>
          <w:rFonts w:ascii="Times New Roman" w:hAnsi="Times New Roman" w:cs="Times New Roman"/>
          <w:sz w:val="24"/>
          <w:szCs w:val="24"/>
        </w:rPr>
        <w:t>agresionit rus kundër Ukrainës.</w:t>
      </w:r>
    </w:p>
    <w:p w:rsidR="008F395D" w:rsidRPr="00802ADF" w:rsidRDefault="008F395D" w:rsidP="008F395D">
      <w:pPr>
        <w:jc w:val="both"/>
        <w:rPr>
          <w:rFonts w:ascii="Times New Roman" w:hAnsi="Times New Roman" w:cs="Times New Roman"/>
          <w:b/>
          <w:sz w:val="24"/>
          <w:szCs w:val="24"/>
        </w:rPr>
      </w:pPr>
      <w:r w:rsidRPr="00802ADF">
        <w:rPr>
          <w:rFonts w:ascii="Times New Roman" w:hAnsi="Times New Roman" w:cs="Times New Roman"/>
          <w:b/>
          <w:sz w:val="24"/>
          <w:szCs w:val="24"/>
        </w:rPr>
        <w:t>Stabiliteti makroekonomik</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Ekonomia e Shqipërisë tregoi një qëndrueshmëri gjatë pandemisë COVID-19. Më parë, rritja reale e PBB-së së Shqipërisë ishte mesatarisht 2,7 % (2013-18). Pas një tkurrjeje më të vogël se parashikimi prej 3.5% në 2020, një rimëkëmbje ekonomike më e fortë se sa pritej e shtyu rritjen reale të PBB-së në 8.3% në vitin 2021. Shumica e kategorive të shpenzimeve tejkaluan nivelet e tyre të vitit 2019, e nxitur nga investimet publike dhe private, konsumi dhe kërkesa e jashtme. Rindërtimi i vazhdueshëm pas tërmetit dhe një sektor financiar i qëndrueshëm dhe likuid mbështetën një rritje jashtëzakonisht të fortë të investimeve (negative që nga viti 2019). Rritja e punësimit në gjysmën e dytë të 2021 ndihmoi tregun e punës të rikuperonte pothuajse të gjithë terrenin e humbur gjatë pandemisë COVID-19. Kjo, së bashku me rritjen e pagave, nxiti konsumin privat. Eksportet e mallrave, kryesisht energji elektrike dhe materiale ndërtimi, tejkaluan nivelet e vitit 2019, ndërkohë që eksportet e shërbimeve mbetën paksa nën nivelin e para pandemisë, pavarësisht rritjes së turizmit nga vendet fqinje. Rritja e investimeve dhe e konsumit çuan në një rritje të importeve të mallrave, duke çuar kështu në një kontribut real negativ të rritjes së eksporteve neto në vitin 2021.</w:t>
      </w:r>
    </w:p>
    <w:p w:rsidR="008F395D" w:rsidRPr="00802ADF" w:rsidRDefault="008F395D" w:rsidP="008F395D">
      <w:pPr>
        <w:jc w:val="both"/>
        <w:rPr>
          <w:rFonts w:ascii="Times New Roman" w:hAnsi="Times New Roman" w:cs="Times New Roman"/>
          <w:b/>
          <w:i/>
          <w:color w:val="FF0000"/>
          <w:sz w:val="24"/>
          <w:szCs w:val="24"/>
        </w:rPr>
      </w:pPr>
      <w:r w:rsidRPr="00CB5623">
        <w:rPr>
          <w:rFonts w:ascii="Times New Roman" w:hAnsi="Times New Roman" w:cs="Times New Roman"/>
          <w:b/>
          <w:i/>
          <w:sz w:val="24"/>
          <w:szCs w:val="24"/>
        </w:rPr>
        <w:t>Lufta e Rusisë kundër Ukrainës po godet në mënyrë indirekte ekonominë e Shqipërisë</w:t>
      </w:r>
      <w:r w:rsidRPr="008F395D">
        <w:rPr>
          <w:rFonts w:ascii="Times New Roman" w:hAnsi="Times New Roman" w:cs="Times New Roman"/>
          <w:sz w:val="24"/>
          <w:szCs w:val="24"/>
        </w:rPr>
        <w:t xml:space="preserve">. Rëndësia ekonomike e prodhimit hidroelektrik të varur nga reshjet mbetet një kontribues kryesor në paqëndrueshmërinë e rritjes së PBB-së. Një normë reale rritjeje prej 6% në tremujorin e parë të 2022 tregoi vazhdimin e rimëkëmbjes së ekonomisë shqiptare, mbështetur nga konsumi privat, eksportet dhe investimet. Besimi i biznesit dhe i konsumatorëve mbeti optimist në prill dhe maj, pavarësisht rritjes edhe më të fortë të çmimeve të transportit dhe ushqimeve. Rritjet e çmimeve ka shtyrë qeverinë të sigurojë rreth 2% të PBB-së në mbështetje të pensionistëve, familjeve në nevojë, fermerët dhe kompanitë e transportit, përveç mbështetjes së përgjithshme për të mbajtur çmimet e rregulluara të energjisë elektrike të qëndrueshme. </w:t>
      </w:r>
      <w:r w:rsidRPr="00802ADF">
        <w:rPr>
          <w:rFonts w:ascii="Times New Roman" w:hAnsi="Times New Roman" w:cs="Times New Roman"/>
          <w:b/>
          <w:i/>
          <w:color w:val="FF0000"/>
          <w:sz w:val="24"/>
          <w:szCs w:val="24"/>
        </w:rPr>
        <w:t>Të dhënat e Eurostat tregojnë se konvergjenca me nivelet e të ardhurave të BE-së ka qenë e ngadaltë, me PBB-në për frymë (në barazinë e fuqisë blerëse) që mbetet në 30% të mesatares së BE-së deri në vitin 2020 e cila është rritur në 32% në 2021.</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lastRenderedPageBreak/>
        <w:t>Një deficit tregtar më i vogël, i shoqëruar me rritjen e lartë të PBB-së dhe rikthimin e remitancave, ndihmuan në ngushtimin e deficitit të llogarisë aktuale në vitin 2021. Në 2016-2020, rritja e eksporteve të shërbimeve dhe remitancave ndihmuan që deficiti i llogarisë aktuale të zvogëlohej nga mesatarisht 10,9 % e PBB-së në periudhën pesëvjeçare 2010-2014 në një mesatare prej 7,7 % në periudhën 2015-2019. Pas zgjerimit të deficitit të llogarisë aktuale të 2020 në 8,7 % të PBB-së, për shkak të rënies së eksportit të shërbimeve (d.m.th., turizmit) dhe transfertave private nga shqiptarët jashtë, rikthimi i eksporteve dhe remitancave, në kombinim me PBB-në e lartë uli deficitin e llogarisë aktuale nga 1 ppt në 7.7% të PBB-së në 2021. Në tremujorin e parë të 2022, të njëjtët elementë vazhduan të mbështesin uljen e mëtejshme të deficitit mesatar të lëvizshëm të llogarisë aktuale për 4 tremujorë, në rreth 7% të PBB-së.</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FDI-të mbetën nën nivelet e para krizës dhe flukset e kapitalit borxh-krijues vijuan të kontribuonin në financimin e deficitit të llogarisë aktuale. Flukset hyrëse të investimeve të huaja direkte (FDI), të cilat filluan të ulen nga nivelet e tyre maksimale mbi 8% të PBB-së në 2015-2019, për shkak të përfundimit të disa projekteve të mëdha energjetike, ranë në 6.4% të PBB-së në vitin 2021, por  në gjysmën e dytë të 2021 filluan te rikuperoheshin dhe u rritën me 24% nga viti në vit në tremujorin e parë të 2022. Në pesë vite deri në vitin 2020, FDI financuan plotësisht deficitin e llogarisë aktuale, por që nga viti 2020 flukset hyrëse borxh-krijuese kontribuan në rreth 15 % të financimit të saj. Këto flukse përfshijnë dy eurobonde sovrane me vlerë 650 milionë euro të emetuara në vitet 2020 dhe 2021, ky i fundit per 10 vjet, bondi më i gjatë i maturimit i emetuar deri më tani. </w:t>
      </w:r>
      <w:r w:rsidRPr="006C58D1">
        <w:rPr>
          <w:rFonts w:ascii="Times New Roman" w:hAnsi="Times New Roman" w:cs="Times New Roman"/>
          <w:i/>
          <w:sz w:val="24"/>
          <w:szCs w:val="24"/>
        </w:rPr>
        <w:t>Borxhi i jashtëm, i përbërë kryesisht nga borxhi afatgjatë i qeverisë, u rrit nga 60% në fund të 2019-ës në 64.3% të PBB-së në vitin 2020, dhe më pas ra në 63.1% në 2021 (për shkak të PBB-së së lartë).</w:t>
      </w:r>
      <w:r w:rsidRPr="008F395D">
        <w:rPr>
          <w:rFonts w:ascii="Times New Roman" w:hAnsi="Times New Roman" w:cs="Times New Roman"/>
          <w:sz w:val="24"/>
          <w:szCs w:val="24"/>
        </w:rPr>
        <w:t xml:space="preserve"> Rezervat valutore u rritën nga 3.9 miliardë euro në vitin 2020 në 4.9 miliardë euro në vitin 2021 dhe vazhduan të rriten në vitin 2022, të mbështetura nga ndërhyrjet e Bankës së Shqipërisë. </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Mbulimi i importeve u rrit nga një ekuivalent mesatar prej rreth 7 muajsh në 2015-2019 në pothuajse 9 muaj importe në 2021 dhe vazhdoi të sigurojë një mbrojtje të përshtatshme kundër goditjeve të jashtme në tremujorin e parë të 2022. Në vitin 2021, kursi i këmbimit vautor të lekut shqiptar ndaj euros i`u rikthye prirjes së saj të mbiçmimit të vazhdueshëm para vitit 2020, ndonëse me një ritëm shumë të moderuar. Me përjashtim të një periudhe të shkurtër luhatshmërie në mars 2022, mbiçmimi i moderuar ndaj euros vazhdoi në vitin 2022, ndërsa leku u nënverësua ndaj dollarit me 10,8 % nga viti në vit në qershor 2022.</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Inflacioni vjetor është përshpejtuar ndjeshëm që nga fundi i vitit 2021 dhe bëri që banka qendrore të fillojë të rrisë normën e saj. Kuadri i politikës monetare dhe i kursit të këmbimit nuk ka ndryshuar. Banka e Shqipërisë (BSH), e cila operon nën një regjim të inflacionit të shënjestruar (me një objektiv prej 3%) të shoqëruar me një kurs këmbimi të ndryshueshëm, mbështeti ekonominë me normën e saj të ulët rekord të politikës prej 0.5% (i vendosur në mars 2020) gjatë ngadalësimit të shkaktuar nga pandemia dhe hendeku i madh ndaj objektivit të inflacionit. Inflacioni vjetor rezultoi mesatarisht 1.8% gjatë pesë viteve të fundit, duke u rritur paksa në 2% në 2021, por ende nën objektivin e BSH. Rritja e çmimeve për ushqimet dhe transportin e shtyu normën e inflacionit drejt objektivit të bankës qendrore në fund të vitit 2021 dhe u përshpejtua fuqishëm në gjysmën e parë të 2022, veçanërisht në muajin mars, duke e shtyrë normën e përgjithshme të inflacionit në nivelin më të lartë historik prej 7.5% në korrik, më shumë se dyfishi </w:t>
      </w:r>
      <w:r w:rsidRPr="008F395D">
        <w:rPr>
          <w:rFonts w:ascii="Times New Roman" w:hAnsi="Times New Roman" w:cs="Times New Roman"/>
          <w:sz w:val="24"/>
          <w:szCs w:val="24"/>
        </w:rPr>
        <w:lastRenderedPageBreak/>
        <w:t>i objektivit. Në përgjigje të presioneve të vazhdueshme të çmimeve, banka qendrore filloi një normalizim gradual të politikës në mars 2022 dhe rriti normën në 1.75% në gusht 2022.</w:t>
      </w:r>
    </w:p>
    <w:p w:rsidR="008F395D" w:rsidRPr="00C3792F" w:rsidRDefault="008F395D" w:rsidP="006C58D1">
      <w:pPr>
        <w:jc w:val="both"/>
        <w:rPr>
          <w:rFonts w:ascii="Times New Roman" w:hAnsi="Times New Roman" w:cs="Times New Roman"/>
          <w:b/>
          <w:i/>
          <w:color w:val="FF0000"/>
          <w:sz w:val="24"/>
          <w:szCs w:val="24"/>
        </w:rPr>
      </w:pPr>
      <w:r w:rsidRPr="008F395D">
        <w:rPr>
          <w:rFonts w:ascii="Times New Roman" w:hAnsi="Times New Roman" w:cs="Times New Roman"/>
          <w:sz w:val="24"/>
          <w:szCs w:val="24"/>
        </w:rPr>
        <w:t>Rritja e lartë e PBB-së dhe e të ardhurave ndihmuan në uljen e raporteve të deficitit fiskal dhe borxhit publik në vitin 2021. Deficiti fiskal mbeti nën 2% të PBB-së në 2015-2019, i mbështetur nga rritja e të ardhurave dhe ulja e shpenzimeve, por u rrit ndjeshëm në 2020 në 6.8% të PBB-së , për shkak të ndikimit të pandemisë. Rimëkëmbja e fortë ekonomike nxiti rritje më të lartë se sa pritej të të ardhurave (19.3% vjetor) në vitin 2021, e cila, së bashku me rritjen e lartë të PBB-së dhe shpenzimet e investimeve publike më të ulëta se ato të planifikuara, ndihmuan në uljen e deficitit publik në 4.5% të PBB-së</w:t>
      </w:r>
      <w:r w:rsidRPr="008F395D">
        <w:rPr>
          <w:rFonts w:ascii="Times New Roman" w:hAnsi="Times New Roman" w:cs="Times New Roman"/>
          <w:color w:val="538135" w:themeColor="accent6" w:themeShade="BF"/>
          <w:sz w:val="24"/>
          <w:szCs w:val="24"/>
        </w:rPr>
        <w:t xml:space="preserve">, 2 %. </w:t>
      </w:r>
      <w:r w:rsidRPr="008F395D">
        <w:rPr>
          <w:rFonts w:ascii="Times New Roman" w:hAnsi="Times New Roman" w:cs="Times New Roman"/>
          <w:sz w:val="24"/>
          <w:szCs w:val="24"/>
        </w:rPr>
        <w:t xml:space="preserve">më e ulët se sa pritej. Emëruesi i lartë i PBB-së çoi gjithashtu në një ulje të raportit të borxhit publik nga kulmi i tij prej 74,5 % në 2020 në 73,1 % në 2021, krahasuar me nivelin e tij para krizës prej 65,8 % në 2019. Rritja e të ardhurave mbeti e fortë në gjysmën e parë të 2022, ndërkohë që shpenzimet mbetën pak prapa planit duke rezultuar në një suficit fiskal në qershor 2022. Reformat e të ardhurave kanë përparuar, por dobësitë në menaxhimin e investimeve publike vazhdojnë. Reformat e administrimit të të ardhurave në vitin 2021 fshinë detyrimet e larta të rimbursimit të TVSH-së, përshpejtuan procesin e rimbursimit të TVSH-së dhe rritën efikasitetin e arkëtimit. Konsultimet publike mbi strategjinë afatmesme të parashikuar të të ardhurave (MTRS) filluan në fund të vitit 2021, por u pezulluan nga qeveria në mars 2022, për shkak të ndikimit të pushtimit rus të Ukrainës. MTRS synon të rrisë mbedhjen dhe efektivitetin e të ardhurave, të reduktojë përjashtimet dhe ta bëjë politikën tatimore më të besueshme dhe të balancuar në efektet e saj të shpërndarjes. Ai gjithashtu duhet të kontribuojë në reduktimin e informalitetit dhe përdorimit të parave të cash dhe në përgjithësi është një mjet thelbësor për një rritje të qëndrueshme dhe të favorshme për rritjen e të ardhurave të nevojshme për të financuar nevojat e mëdha për shpenzime për mbrojtjen sociale shëndetësore, arsimin dhe kërkimin. </w:t>
      </w:r>
      <w:r w:rsidRPr="00C3792F">
        <w:rPr>
          <w:rFonts w:ascii="Times New Roman" w:hAnsi="Times New Roman" w:cs="Times New Roman"/>
          <w:b/>
          <w:i/>
          <w:sz w:val="24"/>
          <w:szCs w:val="24"/>
        </w:rPr>
        <w:t>Megjithëse shpenzimet për investime</w:t>
      </w:r>
      <w:r w:rsidRPr="008F395D">
        <w:rPr>
          <w:rFonts w:ascii="Times New Roman" w:hAnsi="Times New Roman" w:cs="Times New Roman"/>
          <w:sz w:val="24"/>
          <w:szCs w:val="24"/>
        </w:rPr>
        <w:t xml:space="preserve"> janë rritur fuqishëm që nga viti 2017, ato mbetën prapa planeve të rishikuara  dhe mbetën  të bollkuara, me një të tretën e shpenzimeve totale kapitale në vitin 2021 të ekzekutuara vetëm në dhjetor. </w:t>
      </w:r>
      <w:r w:rsidRPr="00C3792F">
        <w:rPr>
          <w:rFonts w:ascii="Times New Roman" w:hAnsi="Times New Roman" w:cs="Times New Roman"/>
          <w:b/>
          <w:i/>
          <w:color w:val="FF0000"/>
          <w:sz w:val="24"/>
          <w:szCs w:val="24"/>
        </w:rPr>
        <w:t>Kjo sinjalizon një dobësi të vazhdueshme në menaxhimin e investimeve publike, e cila, në kombinim me detyrimet e prapambetura të kontratave dhe rishikimet e shpeshta të buxhetit me akte normative, do</w:t>
      </w:r>
      <w:r w:rsidR="006C58D1" w:rsidRPr="00C3792F">
        <w:rPr>
          <w:rFonts w:ascii="Times New Roman" w:hAnsi="Times New Roman" w:cs="Times New Roman"/>
          <w:b/>
          <w:i/>
          <w:color w:val="FF0000"/>
          <w:sz w:val="24"/>
          <w:szCs w:val="24"/>
        </w:rPr>
        <w:t>bëson besueshmërinë e buxhetit.</w:t>
      </w:r>
    </w:p>
    <w:p w:rsidR="008F395D" w:rsidRPr="00C3792F" w:rsidRDefault="008F395D" w:rsidP="008F395D">
      <w:pPr>
        <w:jc w:val="both"/>
        <w:rPr>
          <w:rFonts w:ascii="Times New Roman" w:hAnsi="Times New Roman" w:cs="Times New Roman"/>
          <w:b/>
          <w:i/>
          <w:sz w:val="24"/>
          <w:szCs w:val="24"/>
        </w:rPr>
      </w:pPr>
      <w:r w:rsidRPr="008F395D">
        <w:rPr>
          <w:rFonts w:ascii="Times New Roman" w:hAnsi="Times New Roman" w:cs="Times New Roman"/>
          <w:sz w:val="24"/>
          <w:szCs w:val="24"/>
        </w:rPr>
        <w:t xml:space="preserve">Politika makroekonomike mbështeti rimëkëmbjen e fortë. Planet fillestare fiskale për vitin 2021 dhe vendimi për të avancuar vendosjen e eurobondit për të parafinancuar deficitin e vitit 2022, ishin të kujdesshme. Performanca e mirë e të ardhurave dhe ulja e raportit ende të lartë të borxhit kanë përmirësuar disi hapësirën e kufizuar fiskale për t'u përballur me pasojat fillestare ekonomike të pushtimit rus të Ukrainës, por shtrëngimi i kushteve të financimit mund të kufizojë hapësirën buxhetore për një politikë fiskale më aktive. Vijimi i një qëndrimi shumë të lirshëm të politikës monetare nga BSH deri në mars 2022 ishte i përshtatshëm në funksion të normës së vazhdueshme të inflacionit nën objektivin dhe mbështeti rimëkëmbjen ekonomike. Sigurimi i tij i likuiditetit dhe ndërhyrja e përkohshme në tregun e parasë mbështetën stabilitetin financiar dhe të jashtëm. Përgjigja e politikës ndaj vitit 2022 deri më tani ka rezultuar efektive në kufizimin e rritjes së normës së inflacionit në krahasim me homologët e rajonit. </w:t>
      </w:r>
      <w:r w:rsidRPr="00C3792F">
        <w:rPr>
          <w:rFonts w:ascii="Times New Roman" w:hAnsi="Times New Roman" w:cs="Times New Roman"/>
          <w:b/>
          <w:i/>
          <w:sz w:val="24"/>
          <w:szCs w:val="24"/>
        </w:rPr>
        <w:t xml:space="preserve">Megjithatë, kjo vjen edhe si shkak i kostos së energjisë elektrike, mbështetjes për sektorin e energjisë, e cila ka përbërë një detyrim fiskal të paqëndrueshëm dhe jotransparent tashmë përpara rritjes së fundit të çmimit të energjisë </w:t>
      </w:r>
      <w:r w:rsidRPr="00C3792F">
        <w:rPr>
          <w:rFonts w:ascii="Times New Roman" w:hAnsi="Times New Roman" w:cs="Times New Roman"/>
          <w:b/>
          <w:i/>
          <w:sz w:val="24"/>
          <w:szCs w:val="24"/>
        </w:rPr>
        <w:lastRenderedPageBreak/>
        <w:t>për shkak të varësisë nga reshjet e prodhimit të energjisë hidrike në Shqipëri dhe eficenses se ulet te energjisë.</w:t>
      </w:r>
    </w:p>
    <w:p w:rsidR="008F395D" w:rsidRPr="00C3792F" w:rsidRDefault="008F395D" w:rsidP="008F395D">
      <w:pPr>
        <w:jc w:val="both"/>
        <w:rPr>
          <w:rFonts w:ascii="Times New Roman" w:hAnsi="Times New Roman" w:cs="Times New Roman"/>
          <w:b/>
          <w:sz w:val="24"/>
          <w:szCs w:val="24"/>
        </w:rPr>
      </w:pPr>
      <w:r w:rsidRPr="00C3792F">
        <w:rPr>
          <w:rFonts w:ascii="Times New Roman" w:hAnsi="Times New Roman" w:cs="Times New Roman"/>
          <w:b/>
          <w:sz w:val="24"/>
          <w:szCs w:val="24"/>
        </w:rPr>
        <w:t>Funksionimi i tregjeve të produkteve</w:t>
      </w:r>
    </w:p>
    <w:p w:rsidR="008F395D" w:rsidRPr="00C3792F" w:rsidRDefault="00C3792F" w:rsidP="008F395D">
      <w:pPr>
        <w:jc w:val="both"/>
        <w:rPr>
          <w:rFonts w:ascii="Times New Roman" w:hAnsi="Times New Roman" w:cs="Times New Roman"/>
          <w:b/>
          <w:i/>
          <w:sz w:val="24"/>
          <w:szCs w:val="24"/>
        </w:rPr>
      </w:pPr>
      <w:r>
        <w:rPr>
          <w:rFonts w:ascii="Times New Roman" w:hAnsi="Times New Roman" w:cs="Times New Roman"/>
          <w:b/>
          <w:i/>
          <w:sz w:val="24"/>
          <w:szCs w:val="24"/>
        </w:rPr>
        <w:t>Mjedisi i</w:t>
      </w:r>
      <w:r w:rsidR="008F395D" w:rsidRPr="00C3792F">
        <w:rPr>
          <w:rFonts w:ascii="Times New Roman" w:hAnsi="Times New Roman" w:cs="Times New Roman"/>
          <w:b/>
          <w:i/>
          <w:sz w:val="24"/>
          <w:szCs w:val="24"/>
        </w:rPr>
        <w:t xml:space="preserve"> biznesit</w:t>
      </w:r>
    </w:p>
    <w:p w:rsidR="008F395D" w:rsidRPr="00C3792F" w:rsidRDefault="008F395D" w:rsidP="008F395D">
      <w:pPr>
        <w:jc w:val="both"/>
        <w:rPr>
          <w:rFonts w:ascii="Times New Roman" w:hAnsi="Times New Roman" w:cs="Times New Roman"/>
          <w:b/>
          <w:i/>
          <w:color w:val="FF0000"/>
          <w:sz w:val="24"/>
          <w:szCs w:val="24"/>
        </w:rPr>
      </w:pPr>
      <w:r w:rsidRPr="008F395D">
        <w:rPr>
          <w:rFonts w:ascii="Times New Roman" w:hAnsi="Times New Roman" w:cs="Times New Roman"/>
          <w:sz w:val="24"/>
          <w:szCs w:val="24"/>
        </w:rPr>
        <w:t xml:space="preserve">Një nivel më i lartë dixhitalizimi mbështet formalizimin e ekonomisë shqiptare. Të shtyrë nga pandemia COVID-19, mësimi online, shërbimet e trajnimit dixhital dhe tregtia elektronike po rriten midis bizneseve. Më shumë shërbime publike dhe financiare në internet po vihen në dispozicion pasi qeveria synon të ofrojë 95% të shërbimeve publike online (megjithëse ndryshimi i shpejtë ka ngritur pikpyetje për ofrimin dhe aksesin). Kjo shkon paralelisht me përpjekjet e Bankës së Shqipërisë dhe bankave të nivelit të dytë për të rritur dixhitalizimin e shërbimeve të pagesave, të cilat tashmë kanë rritur fuqishëm përdorimin e kartave të pagesave. Përpjekjet për dixhitalizimin e kadastrës shqiptare brenda dy viteve të ardhshme janë në vazhdim, </w:t>
      </w:r>
      <w:r w:rsidRPr="00C3792F">
        <w:rPr>
          <w:rFonts w:ascii="Times New Roman" w:hAnsi="Times New Roman" w:cs="Times New Roman"/>
          <w:b/>
          <w:i/>
          <w:sz w:val="24"/>
          <w:szCs w:val="24"/>
        </w:rPr>
        <w:t>megjithatë deri tani vazhdojnë vonesat dhe mospërputhjet në lidhje me informacionin mbi aktet e pronësisë.</w:t>
      </w:r>
      <w:r w:rsidRPr="008F395D">
        <w:rPr>
          <w:rFonts w:ascii="Times New Roman" w:hAnsi="Times New Roman" w:cs="Times New Roman"/>
          <w:sz w:val="24"/>
          <w:szCs w:val="24"/>
        </w:rPr>
        <w:t xml:space="preserve"> Në përputhje me rekomandimet e FATF/ICRG, Shqipëria ka krijuar një “Regjistrin e Pron</w:t>
      </w:r>
      <w:r w:rsidR="00C3792F">
        <w:rPr>
          <w:rFonts w:ascii="Times New Roman" w:hAnsi="Times New Roman" w:cs="Times New Roman"/>
          <w:sz w:val="24"/>
          <w:szCs w:val="24"/>
        </w:rPr>
        <w:t>areve perfitues</w:t>
      </w:r>
      <w:r w:rsidRPr="008F395D">
        <w:rPr>
          <w:rFonts w:ascii="Times New Roman" w:hAnsi="Times New Roman" w:cs="Times New Roman"/>
          <w:sz w:val="24"/>
          <w:szCs w:val="24"/>
        </w:rPr>
        <w:t xml:space="preserve">”, në të cilin të gjithë pronarët e subjekteve tregtare ose jofitimprurëse ekzistuese duhet të regjistrohen deri më 30 qershor 2022. Regjistri shton transparencën e aktorëve ekonomikë dhe zbaton një kërkesë kyçe të direktivës së BE-së kundër pastrimit të parave. </w:t>
      </w:r>
      <w:r w:rsidRPr="00C3792F">
        <w:rPr>
          <w:rFonts w:ascii="Times New Roman" w:hAnsi="Times New Roman" w:cs="Times New Roman"/>
          <w:b/>
          <w:i/>
          <w:color w:val="FF0000"/>
          <w:sz w:val="24"/>
          <w:szCs w:val="24"/>
        </w:rPr>
        <w:t>Megjithatë, ekonomia informale mbetet e madhe –  është vlerësuar nga FMN se ajo përbënte rreth një të tretën e PBB-së në vitin 2019 dhe është më e përhapur në tregti, turizëm, prodhim dhe ndërtim.</w:t>
      </w:r>
    </w:p>
    <w:p w:rsidR="008F395D" w:rsidRPr="00C3792F" w:rsidRDefault="008F395D" w:rsidP="008F395D">
      <w:pPr>
        <w:jc w:val="both"/>
        <w:rPr>
          <w:rFonts w:ascii="Times New Roman" w:hAnsi="Times New Roman" w:cs="Times New Roman"/>
          <w:b/>
          <w:i/>
          <w:sz w:val="24"/>
          <w:szCs w:val="24"/>
        </w:rPr>
      </w:pPr>
      <w:r w:rsidRPr="00C3792F">
        <w:rPr>
          <w:rFonts w:ascii="Times New Roman" w:hAnsi="Times New Roman" w:cs="Times New Roman"/>
          <w:b/>
          <w:i/>
          <w:sz w:val="24"/>
          <w:szCs w:val="24"/>
        </w:rPr>
        <w:t xml:space="preserve">Progresi në përmirësimin e sigurisë ligjore për bizneset ka qenë i përzier, ndërkohë që shqetësimet për konsultimin efektiv dhe zbatimin e legjislacionit dhe strategjive vazhdojnë. </w:t>
      </w:r>
      <w:r w:rsidRPr="008F395D">
        <w:rPr>
          <w:rFonts w:ascii="Times New Roman" w:hAnsi="Times New Roman" w:cs="Times New Roman"/>
          <w:sz w:val="24"/>
          <w:szCs w:val="24"/>
        </w:rPr>
        <w:t xml:space="preserve">Miratimi i Ligjit të ri të Unifikuar për Investimet, i planifikuar fillimisht të miratohej në vitin 2020, është shtyrë më tej, </w:t>
      </w:r>
      <w:r w:rsidRPr="00C3792F">
        <w:rPr>
          <w:rFonts w:ascii="Times New Roman" w:hAnsi="Times New Roman" w:cs="Times New Roman"/>
          <w:b/>
          <w:i/>
          <w:sz w:val="24"/>
          <w:szCs w:val="24"/>
        </w:rPr>
        <w:t>duke vonuar përmirësimin e pritshëm të sigurisë juridike të investitorëve</w:t>
      </w:r>
      <w:r w:rsidRPr="008F395D">
        <w:rPr>
          <w:rFonts w:ascii="Times New Roman" w:hAnsi="Times New Roman" w:cs="Times New Roman"/>
          <w:sz w:val="24"/>
          <w:szCs w:val="24"/>
        </w:rPr>
        <w:t xml:space="preserve">. Në mesin e vitit 2021 Shqipëria miratoi një “Strategji të re për Zhvillimin e Investimeve të Biznesit” (BIDS) 2021-2027. Kjo siguron bazën për mbështetjen e qeverisë ndaj SME-ve dhe investimeve dhe parashikon përparimin në de-rregullimin duke eliminuar licencat. Bizneset raportojnë gjithnjë e më shumë sfida në gjetjen e stafit të kualifikuar dhe një nivel të ulët të njohurive dhe aftësive dixhitale, gjë që ka çuar në rritje të forta të pagave në disa sektorë. Prezantimi i një platforme konsultimi online si kanali kryesor i qeverisë për të konsultuar publikun mbi projektligjet dhe strategjitë në fakt </w:t>
      </w:r>
      <w:r w:rsidRPr="00C3792F">
        <w:rPr>
          <w:rFonts w:ascii="Times New Roman" w:hAnsi="Times New Roman" w:cs="Times New Roman"/>
          <w:b/>
          <w:i/>
          <w:sz w:val="24"/>
          <w:szCs w:val="24"/>
        </w:rPr>
        <w:t>ka reduktuar konsultimin efektiv kur publiku nuk e përdor atë, siç ishte rasti për Programin e Reformës Ekonomike 2022-2024.</w:t>
      </w:r>
    </w:p>
    <w:p w:rsidR="008F395D" w:rsidRPr="00C3792F" w:rsidRDefault="008F395D" w:rsidP="008F395D">
      <w:pPr>
        <w:jc w:val="both"/>
        <w:rPr>
          <w:rFonts w:ascii="Times New Roman" w:hAnsi="Times New Roman" w:cs="Times New Roman"/>
          <w:b/>
          <w:i/>
          <w:sz w:val="24"/>
          <w:szCs w:val="24"/>
        </w:rPr>
      </w:pPr>
      <w:r w:rsidRPr="00C3792F">
        <w:rPr>
          <w:rFonts w:ascii="Times New Roman" w:hAnsi="Times New Roman" w:cs="Times New Roman"/>
          <w:b/>
          <w:i/>
          <w:sz w:val="24"/>
          <w:szCs w:val="24"/>
        </w:rPr>
        <w:t>Ndikimi i shtetit në tregje</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Çmimet e larta të ushqimeve dhe energjisë shkaktuan rritjen e mbështetjes dhe ndërhyrjes së qeverisë në mekanizmin e përcaktimit të çmimeve të sektorit privat. Në tremujorin e fundit të 2021 çmimet e ushqimeve dhe energjisë tashmë po rriteshin si përgjigje ndaj kërkesës së lartë, rritjes së fortë dhe problemeve të zinxhirit të furnizimit, por çmimet u rritën edhe më shumë pas pushtimit rus të Ukrainës. Shqipëria miratoi një paketë mbështetjeje financiare (“paketë e rezistencës sociale”) në mars 2022 dhe e zgjeroi atë në korrik 2022 prej rreth 2% të PBB-së. Përballë protestave popullore kundër rritjes së madhe të çmimeve të karburanteve dhe ushqimeve, qeveria krijoi dy borde të përkohshme ("Bordet e Transparencës") me përfaqësues të qeverisë dhe sektorit </w:t>
      </w:r>
      <w:r w:rsidRPr="008F395D">
        <w:rPr>
          <w:rFonts w:ascii="Times New Roman" w:hAnsi="Times New Roman" w:cs="Times New Roman"/>
          <w:sz w:val="24"/>
          <w:szCs w:val="24"/>
        </w:rPr>
        <w:lastRenderedPageBreak/>
        <w:t>privat në mars 2022, të cilët janë autorizuar të vendosin tavane për çmimet me shumicë dhe pakicë te produkteve të përzgjedhura me bazë ushqimore si dhe karburantet. Këto përditësohen rregullisht për të pasqyruar ndryshimet e çmimeve ndërkombëtare duke mbajtur të qëndrueshme marzhin e fitimit.</w:t>
      </w:r>
    </w:p>
    <w:p w:rsidR="008F395D" w:rsidRPr="00C3792F" w:rsidRDefault="008F395D" w:rsidP="008F395D">
      <w:pPr>
        <w:jc w:val="both"/>
        <w:rPr>
          <w:rFonts w:ascii="Times New Roman" w:hAnsi="Times New Roman" w:cs="Times New Roman"/>
          <w:b/>
          <w:i/>
          <w:sz w:val="24"/>
          <w:szCs w:val="24"/>
        </w:rPr>
      </w:pPr>
      <w:r w:rsidRPr="008F395D">
        <w:rPr>
          <w:rFonts w:ascii="Times New Roman" w:hAnsi="Times New Roman" w:cs="Times New Roman"/>
          <w:sz w:val="24"/>
          <w:szCs w:val="24"/>
        </w:rPr>
        <w:t xml:space="preserve">Prania e shtetit në ekonomi është e kufizuar dhe ndihma shtetërore e raportuar e Shqipërisë ra nën 0.5% të PBB-së. Sipas llogarive sektoriale të krijuara së fundi, pjesa e sektorit publik në vlerën e shtuar bruto të ekonomisë ishte rreth 10.5 % në 2018. Pjesa e punësimit në sektorin publik u ul nga 16.3 % e punësimit total në 2014 në 14.3 % në 2017 përpara se të rritej në 15.3 % në dhjetor 2021. Pas një rritjeje të ndihmës shtetërore në vitin 2020 në rreth 248,5 milionë euro, ose 1,96 % e PBB-së, pothuajse trefishuar nga niveli në 2019 (5 % e PBB-së), më pas u raportua se ra në 0,25 % të PBB-së në 2021. Përqindja e ndihmës horizontale në veçanti ra në vitin 2021 në rreth 50 % të nivelit të saj në 2019. </w:t>
      </w:r>
      <w:r w:rsidRPr="00C3792F">
        <w:rPr>
          <w:rFonts w:ascii="Times New Roman" w:hAnsi="Times New Roman" w:cs="Times New Roman"/>
          <w:b/>
          <w:i/>
          <w:sz w:val="24"/>
          <w:szCs w:val="24"/>
        </w:rPr>
        <w:t>Megjithatë, Zyrës së Ndihmës Shtetërore i mungon ende pavarësia institucionale dhe për këtë arsye gjithëpërfshirja e të dhënave të raportuara mbetet e paqartë.</w:t>
      </w: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Privatizimi dhe ristrukturimi</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Përpjekjet për të përcaktuar dhe monitoruar korporatat e sektorit publik dhe risqet e tyre fiskale janë në vazhdim. Duke përdorur metodologjinë ESA2010, në vitin 2020 Instituti i Statistikave bëri dallimin midis 167 njësive ekstra buxhetore të qendrës (përfshirë disa ndërmarrje) dhe të qeverisjes vendore (ujësjellësit dhe klubet e futbollit) dhe 26 korporata publike jofinanciare dhe 2 korporata financiare publike, pa përfshirë Korporaten Shqiptare te Investimeve (AIC) e cila zotërohet dhe financohet nga shteti për të menaxhuar asetet shtetërore dhe për të mobilizuar kapitalin privat për zhvillimin e projekteve investuese me interes publik. Amendamenti i fundit buxhetor i vitit 2021 i akordoi AIC një transferim kapital prej 2 miliardë lekësh (rreth 16 milionë euro), por buxheti i vitit 2022 parashikon kthimin e këtyre fondeve në buxhet. E themeluar në fund të vitit 2019, AIC u bë funksional në korrik 2021 dhe ka filluar të rishikojë asetet shtetërore, të zyrtarizojë partneritetet me institucionet qeveritar</w:t>
      </w:r>
      <w:r w:rsidR="00C3792F">
        <w:rPr>
          <w:rFonts w:ascii="Times New Roman" w:hAnsi="Times New Roman" w:cs="Times New Roman"/>
          <w:sz w:val="24"/>
          <w:szCs w:val="24"/>
        </w:rPr>
        <w:t xml:space="preserve">e dhe të përgatisë një projekt. </w:t>
      </w:r>
      <w:r w:rsidRPr="008F395D">
        <w:rPr>
          <w:rFonts w:ascii="Times New Roman" w:hAnsi="Times New Roman" w:cs="Times New Roman"/>
          <w:sz w:val="24"/>
          <w:szCs w:val="24"/>
        </w:rPr>
        <w:t>Shqipëria raporton se ka nisur një vlerësim të aksioneve të shtetit në 21 korporata, me më pak se 50% kapital shtetëror në vitin 2022, për të vlerësuar fuqinë votuese të shtetit në këto korporata. Raportohet se ka bashkuar 6 kompani shtetërore në vitin 2021 dhe ka përgatitur privatizimin, ristrukturimin dhe likuidimin e disa kompanive të tjera shtetërore për vitin 2022. Ministria e Financave dhe Ekonomisë (MFE) vijoi monitorimin e saj të rregullt të partneritetit publik-privat (PPP-të), për të cilat detyrimet direkte buxhetore mbetën të qëndrueshme nën 3% të të ardhurave, dhe e zgjeroi vlerësimin e rriskut fiskal për ndërmarrjet shtetërore (NSH) në sektorët e ujit dhe energjisë.</w:t>
      </w:r>
    </w:p>
    <w:p w:rsidR="008F395D" w:rsidRPr="008F395D" w:rsidRDefault="008F395D" w:rsidP="008F395D">
      <w:pPr>
        <w:tabs>
          <w:tab w:val="left" w:pos="1440"/>
        </w:tabs>
        <w:jc w:val="both"/>
        <w:rPr>
          <w:rFonts w:ascii="Times New Roman" w:hAnsi="Times New Roman" w:cs="Times New Roman"/>
          <w:color w:val="538135" w:themeColor="accent6" w:themeShade="BF"/>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Funksionimi i tregut financiar</w:t>
      </w:r>
    </w:p>
    <w:p w:rsidR="008F395D" w:rsidRPr="008F395D" w:rsidRDefault="008F395D" w:rsidP="008F395D">
      <w:pPr>
        <w:jc w:val="both"/>
        <w:rPr>
          <w:rFonts w:ascii="Times New Roman" w:hAnsi="Times New Roman" w:cs="Times New Roman"/>
          <w:i/>
          <w:sz w:val="24"/>
          <w:szCs w:val="24"/>
        </w:rPr>
      </w:pPr>
      <w:r w:rsidRPr="008F395D">
        <w:rPr>
          <w:rFonts w:ascii="Times New Roman" w:hAnsi="Times New Roman" w:cs="Times New Roman"/>
          <w:i/>
          <w:sz w:val="24"/>
          <w:szCs w:val="24"/>
        </w:rPr>
        <w:t>Stabiliteti financiar</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Sektori financiar mbeti i qëndrueshëm dhe cilësia e aseteve u përmirësua në vitin 2021, </w:t>
      </w:r>
      <w:r w:rsidRPr="00C3792F">
        <w:rPr>
          <w:rFonts w:ascii="Times New Roman" w:hAnsi="Times New Roman" w:cs="Times New Roman"/>
          <w:b/>
          <w:i/>
          <w:sz w:val="24"/>
          <w:szCs w:val="24"/>
        </w:rPr>
        <w:t>megjithëse rreziqet vijuan nga përdorimi i lartë i euros në ekonominë vendase. N</w:t>
      </w:r>
      <w:r w:rsidRPr="008F395D">
        <w:rPr>
          <w:rFonts w:ascii="Times New Roman" w:hAnsi="Times New Roman" w:cs="Times New Roman"/>
          <w:sz w:val="24"/>
          <w:szCs w:val="24"/>
        </w:rPr>
        <w:t xml:space="preserve">ë vitin 2021, BSH përfundoi masat e përkohshme që kishte vendosur në funksion të ndikimit të pandemisë COVID-19 pa ndikim negativ në treguesit kryesorë. Raporti i kredive me probleme ndaj totalit të kredive </w:t>
      </w:r>
      <w:r w:rsidRPr="008F395D">
        <w:rPr>
          <w:rFonts w:ascii="Times New Roman" w:hAnsi="Times New Roman" w:cs="Times New Roman"/>
          <w:sz w:val="24"/>
          <w:szCs w:val="24"/>
        </w:rPr>
        <w:lastRenderedPageBreak/>
        <w:t xml:space="preserve">vijoi të bjerë nga 8.4 % në 2019 në nivelin më të ulët historik prej 5.3 % në fund të tremujorit të dytë 2022. Fitimi i sektorit bankar u përmirësua gjatë vitit 2021, por ra ndjeshëm në tremujorin e parë të 2022 (me uljen e kthimit nga kapitali në 7.4% në mars 2022 nga një mesatare prej 12.2% në 2021, dhe kthimin e aktiveve që ra nga mesatarja 1.3% në 0.8% në të njëjtën periudhë), por në përgjithësi sektori bankar mbeti i qëndrueshëm, me kapital te mjaftueshëm dhe likuid. Mjaftueshmëria e kapitalit të sektorit bankar mbeti shumë mbi kërkesat rregullatore në mesatare 18,1 % në 2021 dhe 17,9 % në mars 2022, dhe raporti i likuiditetit ra nga mesatarja 33,6 % në 2021 në 28,0 % në mars 2022. </w:t>
      </w:r>
      <w:r w:rsidRPr="00C3792F">
        <w:rPr>
          <w:rFonts w:ascii="Times New Roman" w:hAnsi="Times New Roman" w:cs="Times New Roman"/>
          <w:b/>
          <w:i/>
          <w:sz w:val="24"/>
          <w:szCs w:val="24"/>
        </w:rPr>
        <w:t>Megjithatë, ekspozimi relativisht i madh i bankave ndaj letrave me vlerë të qeverisë (rreth 25 % e aktiveve bankare) dhe përdorimi i lartë i vazhdueshëm i euros në ekonominë vendase vazhdojnë të përbëjnë rreziqe,</w:t>
      </w:r>
      <w:r w:rsidRPr="008F395D">
        <w:rPr>
          <w:rFonts w:ascii="Times New Roman" w:hAnsi="Times New Roman" w:cs="Times New Roman"/>
          <w:sz w:val="24"/>
          <w:szCs w:val="24"/>
        </w:rPr>
        <w:t xml:space="preserve"> megjithëse pesha e kredive të pambrojtura ndaj rreziqeve të sigurisë u ul në krahasim me vitin 2020. Sektori financiar jobankar i vogël por në rritje u zgjerua në 38 institucione, por pjesa e saj në PBB mbeti e pandryshuar në 12 %. Këtu përfshihet edhe tregu i sigurimeve, i cili vlerësohet në rreth 2.3 % të PBB-së, i dominuar nga sig</w:t>
      </w:r>
      <w:r w:rsidR="00C3792F">
        <w:rPr>
          <w:rFonts w:ascii="Times New Roman" w:hAnsi="Times New Roman" w:cs="Times New Roman"/>
          <w:sz w:val="24"/>
          <w:szCs w:val="24"/>
        </w:rPr>
        <w:t>urimet qe nuk jane rreth jetës.</w:t>
      </w:r>
    </w:p>
    <w:p w:rsidR="008F395D" w:rsidRPr="008F395D" w:rsidRDefault="008F395D" w:rsidP="008F395D">
      <w:pPr>
        <w:jc w:val="both"/>
        <w:rPr>
          <w:rFonts w:ascii="Times New Roman" w:hAnsi="Times New Roman" w:cs="Times New Roman"/>
          <w:i/>
          <w:sz w:val="24"/>
          <w:szCs w:val="24"/>
          <w:u w:val="single"/>
        </w:rPr>
      </w:pPr>
      <w:r w:rsidRPr="008F395D">
        <w:rPr>
          <w:rFonts w:ascii="Times New Roman" w:hAnsi="Times New Roman" w:cs="Times New Roman"/>
          <w:i/>
          <w:sz w:val="24"/>
          <w:szCs w:val="24"/>
          <w:u w:val="single"/>
        </w:rPr>
        <w:t>Aksesi në financa</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Kushtet e favorshme të financimit dhe modernizimi i sistemeve të pagesave përmirësoi aksesin në financa. Rritja totale e kredisë ishte mesatarisht 6,9 % në 2021, nga 6 % në 2020 dhe u përshpejtua më tej në 11,9 % (vjetor) në tremujorin e parë të 2022. Kredia për sektorin privat u përshpejtua gjithashtu, në 13,8 % nga viti në vit në Qershor 2022, duke rritur raportin e kredisë private ndaj PBB-së nga mesatarja 37,8 % në 2020 në 38,5 % në Mars 2022. Zbatimi i “Strategjisë Kombëtare të Pagesave me Pakicë” përparoi mirë dhe çoi në një rritje të përfshirjes financiare (rreth 69 % e të rriturve kishin një llogari bankare në 2021, nga 40% në 2017) dhe në pagesat elektronike (rritje me 29,5% në 2021). Krijimi i një depozite të të dhënave biometrike të popullsisë mbështet sigurinë e sektorit bankar online në rritje të shpejtë. Gjithashtu, BSH ka iniciuar një rregullim të zgjeruar të kredisë konsumatore dhe mbrojtjes së konsumatorit nga normat e interesit të pajustifikuara ose jotransparente, bazuar në praktikat më të mira të BE-së. Funksionimi i një platforme të re për pagesat ndërbankare në euro që nga janari i vitit 2022, është gjithashtu pjesë e strategjisë dhe pritet të ulë kostot për shërbimet e pagesave. Pas një vlerësimi pozitiv të kuadrit të saj mbikëqyrës në vitin 2021, BSH kërkoi një proces formal të ekuivalencës me kuadrin e BE-së, i cili do të ulte më tej kostot dhe do të mbështeste konkurren</w:t>
      </w:r>
      <w:r w:rsidR="00283A33">
        <w:rPr>
          <w:rFonts w:ascii="Times New Roman" w:hAnsi="Times New Roman" w:cs="Times New Roman"/>
          <w:sz w:val="24"/>
          <w:szCs w:val="24"/>
        </w:rPr>
        <w:t>cën e sektorit bankar shqiptar.</w:t>
      </w:r>
    </w:p>
    <w:p w:rsidR="008F395D" w:rsidRPr="008F395D" w:rsidRDefault="008F395D" w:rsidP="008F395D">
      <w:pPr>
        <w:jc w:val="both"/>
        <w:rPr>
          <w:rFonts w:ascii="Times New Roman" w:hAnsi="Times New Roman" w:cs="Times New Roman"/>
          <w:i/>
          <w:sz w:val="24"/>
          <w:szCs w:val="24"/>
          <w:u w:val="single"/>
        </w:rPr>
      </w:pPr>
      <w:r w:rsidRPr="008F395D">
        <w:rPr>
          <w:rFonts w:ascii="Times New Roman" w:hAnsi="Times New Roman" w:cs="Times New Roman"/>
          <w:i/>
          <w:sz w:val="24"/>
          <w:szCs w:val="24"/>
          <w:u w:val="single"/>
        </w:rPr>
        <w:t>Funksionimi i tregut të punës</w:t>
      </w:r>
    </w:p>
    <w:p w:rsidR="008F395D" w:rsidRPr="00FD0EB8" w:rsidRDefault="008F395D" w:rsidP="00FD0EB8">
      <w:pPr>
        <w:jc w:val="both"/>
        <w:rPr>
          <w:rFonts w:ascii="Times New Roman" w:hAnsi="Times New Roman" w:cs="Times New Roman"/>
          <w:sz w:val="24"/>
          <w:szCs w:val="24"/>
        </w:rPr>
      </w:pPr>
      <w:r w:rsidRPr="008F395D">
        <w:rPr>
          <w:rFonts w:ascii="Times New Roman" w:hAnsi="Times New Roman" w:cs="Times New Roman"/>
          <w:sz w:val="24"/>
          <w:szCs w:val="24"/>
        </w:rPr>
        <w:t>Pas një rritje të lehtë të papunësisë dhe pasivitetit në vitin 2020, rritja ripërtëritëse mbështeti rimëkëmbjen e tregut të punës në vitin 2021. Rritja e qëndrueshme e punësimit mesatarisht 3,7 % në periudhën 2015-2019 ndihmoi në uljen e shkallës së papunësisë (grupmosha 15-64) nga 17,5 % në një nivel të ulët rekord prej 11,7 % deri në tremujorin e parë 2022. Pas një përkeqësimi të të gjithë treguesve të tregut të punës në vitin 2020, ekonomia e rimëkëmbur në 2021 përmirësoi situatën në tregun e punës: shkalla e papunësisë u kthye në 12,05 %, popullsia joaktive u ul me 1,5 % dhe forca e pun</w:t>
      </w:r>
      <w:r w:rsidR="00FD0EB8">
        <w:rPr>
          <w:rFonts w:ascii="Times New Roman" w:hAnsi="Times New Roman" w:cs="Times New Roman"/>
          <w:sz w:val="24"/>
          <w:szCs w:val="24"/>
        </w:rPr>
        <w:t>e</w:t>
      </w:r>
      <w:r w:rsidRPr="008F395D">
        <w:rPr>
          <w:rFonts w:ascii="Times New Roman" w:hAnsi="Times New Roman" w:cs="Times New Roman"/>
          <w:sz w:val="24"/>
          <w:szCs w:val="24"/>
        </w:rPr>
        <w:t xml:space="preserve">tore  u rrit në 69.3%, por mbeti pak nën nivelin mesatar të vitit 2019 prej 69.6%. Hendeku midis pjesëmarrjes së meshkujve dhe femrave në fuqinë punëtore mbeti i madh dhe i pandryshuar në 15.9% që nga viti 2019. Megjithatë, në vitin 2020 dhe 2021 pati disa ndryshime strukturore në tregun e punës. Shkalla e papunësisë së personave me arsim te larte ka rënë </w:t>
      </w:r>
      <w:r w:rsidRPr="008F395D">
        <w:rPr>
          <w:rFonts w:ascii="Times New Roman" w:hAnsi="Times New Roman" w:cs="Times New Roman"/>
          <w:sz w:val="24"/>
          <w:szCs w:val="24"/>
        </w:rPr>
        <w:lastRenderedPageBreak/>
        <w:t>ndjeshëm, ndërsa është rritur për punëtorët me arsim fillor dhe gjithashtu për të rinjtë (15-24). Emigracioni ra me pothuajse 50% në 2020-n krahasuar me 2019-n për shkak të kufizimeve ndërkombëtare të lëvizshmërisë të lidhura me COVID-19, por u rrit përsëri në vitin 2021, veçanërisht numri i të rinjve (20-29) ra më shumë se dyfishi i vitit 2020. Së bashku me një rënie të shkallës së lindjeve, kjo çoi në një rënie të lartë të popullsisë prej 1,3 % në vitin 2021. Megjithatë, për shkak të rritjes së shkallës së pjesëmarrjes, rënia e fuqisë punëtore (- 0,5 %) ishte më e moderuar, afërsisht në të një</w:t>
      </w:r>
      <w:r w:rsidR="00FD0EB8">
        <w:rPr>
          <w:rFonts w:ascii="Times New Roman" w:hAnsi="Times New Roman" w:cs="Times New Roman"/>
          <w:sz w:val="24"/>
          <w:szCs w:val="24"/>
        </w:rPr>
        <w:t>jtin nivel si në 2020 dhe 2019.</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Rritja nominale e pagave u përshpejtua në 6.6% në 2021 nga 2.4% në 2020, duke reflektuar pjesërisht një ulje të pagave te nën-raportuara. Mungesa e fuqisë punëtore të kualifikuar dhe rritja e pagave të sektorit publik, kryesisht në shëndetësi dhe arsim, e çuan pagën mesatare mujore nominale në 465 euro në 2021. Një rrjedhje e të dhënave për pagat e rreth 630 000 qytetarëve në vitin 2021 mundësoi një njësi të posaçme kundër informalitetit të krijuar së fundmi të qeverisë për të synuar praktikën e përhapur të nën-raportimit të pagave në nivel biznesi individual dhe organet tatimore përsëritën thirrjen e tyre ndaj bizneseve dhe të vetëpunësuarve që të korrigjojnë deklaratat përkatëse të të ardhurave. Këto masa reduktuan ndjeshëm numrin e punonjësve që marrin pagën minimale (rreth 243 euro) dhe kontribuan në rritjen statistikore të pagave.</w:t>
      </w:r>
    </w:p>
    <w:p w:rsidR="008F395D" w:rsidRPr="008F395D" w:rsidRDefault="008F395D" w:rsidP="008F395D">
      <w:pPr>
        <w:tabs>
          <w:tab w:val="left" w:pos="1440"/>
        </w:tabs>
        <w:jc w:val="both"/>
        <w:rPr>
          <w:rFonts w:ascii="Times New Roman" w:hAnsi="Times New Roman" w:cs="Times New Roman"/>
          <w:noProof/>
          <w:sz w:val="24"/>
          <w:szCs w:val="24"/>
        </w:rPr>
      </w:pPr>
    </w:p>
    <w:p w:rsidR="008F395D" w:rsidRPr="008F395D" w:rsidRDefault="008F395D" w:rsidP="008F395D">
      <w:pPr>
        <w:jc w:val="both"/>
        <w:rPr>
          <w:rFonts w:ascii="Times New Roman" w:hAnsi="Times New Roman" w:cs="Times New Roman"/>
          <w:b/>
          <w:sz w:val="24"/>
          <w:szCs w:val="24"/>
        </w:rPr>
      </w:pPr>
      <w:r w:rsidRPr="008F395D">
        <w:rPr>
          <w:rFonts w:ascii="Times New Roman" w:hAnsi="Times New Roman" w:cs="Times New Roman"/>
          <w:b/>
          <w:sz w:val="24"/>
          <w:szCs w:val="24"/>
        </w:rPr>
        <w:t>2.3.2. Kapaciteti për të përballuar presionin konkurrues dhe forcat e tregut brenda Unionit</w:t>
      </w:r>
    </w:p>
    <w:p w:rsidR="008F395D" w:rsidRPr="00FD0EB8" w:rsidRDefault="008F395D" w:rsidP="00FD0EB8">
      <w:pPr>
        <w:shd w:val="clear" w:color="auto" w:fill="AEAAAA" w:themeFill="background2" w:themeFillShade="BF"/>
        <w:jc w:val="both"/>
        <w:rPr>
          <w:rFonts w:ascii="Times New Roman" w:hAnsi="Times New Roman" w:cs="Times New Roman"/>
          <w:b/>
          <w:i/>
          <w:sz w:val="24"/>
          <w:szCs w:val="24"/>
        </w:rPr>
      </w:pPr>
      <w:r w:rsidRPr="008F395D">
        <w:rPr>
          <w:rFonts w:ascii="Times New Roman" w:hAnsi="Times New Roman" w:cs="Times New Roman"/>
          <w:sz w:val="24"/>
          <w:szCs w:val="24"/>
        </w:rPr>
        <w:t xml:space="preserve">Shqipëria ka bërë disa përparime dhe ka një nivel përgatitjeje për të përballuar presionin konkurrues dhe forcat e tregut brenda BE-së. Infrastruktura e energjisë dhe transportit, dixhitalizimi i ekonomisë dhe rezultatet e arsimit janë përmirësuar, </w:t>
      </w:r>
      <w:r w:rsidRPr="00FD0EB8">
        <w:rPr>
          <w:rFonts w:ascii="Times New Roman" w:hAnsi="Times New Roman" w:cs="Times New Roman"/>
          <w:b/>
          <w:i/>
          <w:sz w:val="24"/>
          <w:szCs w:val="24"/>
        </w:rPr>
        <w:t>por mbeten boshllëqe të konsiderueshme në nivelet rajonale dhe evropiane. Konkurrueshmëria e Shqipërisë pengohet nga mungesa e njohurive sipërmarrëse dhe teknologjike, nivele të konsiderueshme informaliteti, nevoja të paplotësuara për investime në kapitalin njerëzor dhe fizik dhe shpenzime të ulëta të vazhdueshme për Kërkim dhe Zhvillim</w:t>
      </w:r>
      <w:r w:rsidRPr="008F395D">
        <w:rPr>
          <w:rFonts w:ascii="Times New Roman" w:hAnsi="Times New Roman" w:cs="Times New Roman"/>
          <w:sz w:val="24"/>
          <w:szCs w:val="24"/>
        </w:rPr>
        <w:t xml:space="preserve">. Përpjekjet për të përmirësuar trajnimin profesional dhe për të adresuar mospërputhjen e aftësive dhe përgatitjet institucionale për Planin e Garancisë Rinore kane nisur. Integrimi rajonal dhe eksportet u rritën por mbetën nën potencial. </w:t>
      </w:r>
      <w:r w:rsidRPr="00FD0EB8">
        <w:rPr>
          <w:rFonts w:ascii="Times New Roman" w:hAnsi="Times New Roman" w:cs="Times New Roman"/>
          <w:b/>
          <w:i/>
          <w:sz w:val="24"/>
          <w:szCs w:val="24"/>
        </w:rPr>
        <w:t>Mungesa e produktit dhe diversifikimi gjeografik i eksporteve shtojnë cënueshmërinë e Shqipërisë ndaj goditjeve të jashtme.</w:t>
      </w:r>
    </w:p>
    <w:p w:rsidR="008F395D" w:rsidRPr="008F395D" w:rsidRDefault="008F395D" w:rsidP="00FD0EB8">
      <w:pPr>
        <w:shd w:val="clear" w:color="auto" w:fill="AEAAAA" w:themeFill="background2" w:themeFillShade="BF"/>
        <w:jc w:val="both"/>
        <w:rPr>
          <w:rFonts w:ascii="Times New Roman" w:hAnsi="Times New Roman" w:cs="Times New Roman"/>
          <w:sz w:val="24"/>
          <w:szCs w:val="24"/>
        </w:rPr>
      </w:pPr>
      <w:r w:rsidRPr="008F395D">
        <w:rPr>
          <w:rFonts w:ascii="Times New Roman" w:hAnsi="Times New Roman" w:cs="Times New Roman"/>
          <w:sz w:val="24"/>
          <w:szCs w:val="24"/>
        </w:rPr>
        <w:t>Meqenëse disa nga rekomandimet e Komisionit të vitit 2021 për të përmirësuar konkurrencën dhe për të mbështetur rritjen afatgjatë nuk u zbatuan plotësisht, në vitin e ardhshëm Shqipëria duhet në veçanti:</w:t>
      </w:r>
    </w:p>
    <w:p w:rsidR="008F395D" w:rsidRPr="00FD0EB8" w:rsidRDefault="008F395D" w:rsidP="00FD0EB8">
      <w:pPr>
        <w:shd w:val="clear" w:color="auto" w:fill="AEAAAA" w:themeFill="background2" w:themeFillShade="BF"/>
        <w:jc w:val="both"/>
        <w:rPr>
          <w:rFonts w:ascii="Times New Roman" w:hAnsi="Times New Roman" w:cs="Times New Roman"/>
          <w:b/>
          <w:i/>
          <w:sz w:val="24"/>
          <w:szCs w:val="24"/>
        </w:rPr>
      </w:pPr>
      <w:r w:rsidRPr="008F395D">
        <w:rPr>
          <w:rFonts w:ascii="Times New Roman" w:hAnsi="Times New Roman" w:cs="Times New Roman"/>
          <w:sz w:val="24"/>
          <w:szCs w:val="24"/>
        </w:rPr>
        <w:sym w:font="Symbol" w:char="F0AE"/>
      </w:r>
      <w:r w:rsidRPr="008F395D">
        <w:rPr>
          <w:rFonts w:ascii="Times New Roman" w:hAnsi="Times New Roman" w:cs="Times New Roman"/>
          <w:sz w:val="24"/>
          <w:szCs w:val="24"/>
        </w:rPr>
        <w:t xml:space="preserve"> </w:t>
      </w:r>
      <w:r w:rsidRPr="00FD0EB8">
        <w:rPr>
          <w:rFonts w:ascii="Times New Roman" w:hAnsi="Times New Roman" w:cs="Times New Roman"/>
          <w:b/>
          <w:i/>
          <w:sz w:val="24"/>
          <w:szCs w:val="24"/>
        </w:rPr>
        <w:t xml:space="preserve">Të Finalizojë Planin </w:t>
      </w:r>
      <w:r w:rsidR="00FD0EB8" w:rsidRPr="00FD0EB8">
        <w:rPr>
          <w:rFonts w:ascii="Times New Roman" w:hAnsi="Times New Roman" w:cs="Times New Roman"/>
          <w:b/>
          <w:i/>
          <w:sz w:val="24"/>
          <w:szCs w:val="24"/>
        </w:rPr>
        <w:t>e Zbatimit</w:t>
      </w:r>
      <w:r w:rsidRPr="00FD0EB8">
        <w:rPr>
          <w:rFonts w:ascii="Times New Roman" w:hAnsi="Times New Roman" w:cs="Times New Roman"/>
          <w:b/>
          <w:i/>
          <w:sz w:val="24"/>
          <w:szCs w:val="24"/>
        </w:rPr>
        <w:t xml:space="preserve"> të Garancisë Rinore dhe implementimin e tij;</w:t>
      </w:r>
    </w:p>
    <w:p w:rsidR="008F395D" w:rsidRPr="00FD0EB8" w:rsidRDefault="008F395D" w:rsidP="00FD0EB8">
      <w:pPr>
        <w:shd w:val="clear" w:color="auto" w:fill="AEAAAA" w:themeFill="background2" w:themeFillShade="BF"/>
        <w:jc w:val="both"/>
        <w:rPr>
          <w:rFonts w:ascii="Times New Roman" w:hAnsi="Times New Roman" w:cs="Times New Roman"/>
          <w:b/>
          <w:i/>
          <w:sz w:val="24"/>
          <w:szCs w:val="24"/>
        </w:rPr>
      </w:pPr>
      <w:r w:rsidRPr="00FD0EB8">
        <w:rPr>
          <w:rFonts w:ascii="Times New Roman" w:hAnsi="Times New Roman" w:cs="Times New Roman"/>
          <w:b/>
          <w:i/>
          <w:sz w:val="24"/>
          <w:szCs w:val="24"/>
        </w:rPr>
        <w:sym w:font="Symbol" w:char="F0AE"/>
      </w:r>
      <w:r w:rsidRPr="00FD0EB8">
        <w:rPr>
          <w:rFonts w:ascii="Times New Roman" w:hAnsi="Times New Roman" w:cs="Times New Roman"/>
          <w:b/>
          <w:i/>
          <w:sz w:val="24"/>
          <w:szCs w:val="24"/>
        </w:rPr>
        <w:t xml:space="preserve"> Te përmirësojë shërbimet mbështetëse të biznesit si dhe mekanizmave të konsultimit me bizneset dhe partnerët socialë dhe në bashkëpunim me to të zhvillojnë një plan strategjik veprimi për zbatimin e politikave kundër informalitetit;</w:t>
      </w:r>
    </w:p>
    <w:p w:rsidR="008F395D" w:rsidRPr="00FD0EB8" w:rsidRDefault="008F395D" w:rsidP="00FD0EB8">
      <w:pPr>
        <w:shd w:val="clear" w:color="auto" w:fill="AEAAAA" w:themeFill="background2" w:themeFillShade="BF"/>
        <w:jc w:val="both"/>
        <w:rPr>
          <w:rFonts w:ascii="Times New Roman" w:hAnsi="Times New Roman" w:cs="Times New Roman"/>
          <w:b/>
          <w:i/>
          <w:sz w:val="24"/>
          <w:szCs w:val="24"/>
        </w:rPr>
      </w:pPr>
      <w:r w:rsidRPr="00FD0EB8">
        <w:rPr>
          <w:rFonts w:ascii="Times New Roman" w:hAnsi="Times New Roman" w:cs="Times New Roman"/>
          <w:b/>
          <w:i/>
          <w:sz w:val="24"/>
          <w:szCs w:val="24"/>
        </w:rPr>
        <w:sym w:font="Symbol" w:char="F0AE"/>
      </w:r>
      <w:r w:rsidRPr="00FD0EB8">
        <w:rPr>
          <w:rFonts w:ascii="Times New Roman" w:hAnsi="Times New Roman" w:cs="Times New Roman"/>
          <w:b/>
          <w:i/>
          <w:sz w:val="24"/>
          <w:szCs w:val="24"/>
        </w:rPr>
        <w:t xml:space="preserve"> Të vijojë të rrisë pjesën e shpenzimeve në totalin e shpenzimeve publike për arsimin si dhe për Kërkim dhe Zhvillim, si dhe për shëndetin dhe mbrojtjen sociale për të financuar </w:t>
      </w:r>
      <w:r w:rsidRPr="00FD0EB8">
        <w:rPr>
          <w:rFonts w:ascii="Times New Roman" w:hAnsi="Times New Roman" w:cs="Times New Roman"/>
          <w:b/>
          <w:i/>
          <w:sz w:val="24"/>
          <w:szCs w:val="24"/>
        </w:rPr>
        <w:lastRenderedPageBreak/>
        <w:t>përmirësimin e dakorduar të shërbimeve sociale dhe rimbursimin më të lartë të kostove mjekësore për grupet më vunerabël.</w:t>
      </w:r>
    </w:p>
    <w:p w:rsidR="008F395D" w:rsidRPr="00FD0EB8" w:rsidRDefault="008F395D" w:rsidP="00FD0EB8">
      <w:pPr>
        <w:shd w:val="clear" w:color="auto" w:fill="AEAAAA" w:themeFill="background2" w:themeFillShade="BF"/>
        <w:jc w:val="both"/>
        <w:rPr>
          <w:rFonts w:ascii="Times New Roman" w:hAnsi="Times New Roman" w:cs="Times New Roman"/>
          <w:b/>
          <w:i/>
          <w:sz w:val="24"/>
          <w:szCs w:val="24"/>
        </w:rPr>
      </w:pPr>
    </w:p>
    <w:p w:rsidR="008F395D" w:rsidRPr="008F395D" w:rsidRDefault="008F395D" w:rsidP="008F395D">
      <w:pPr>
        <w:jc w:val="both"/>
        <w:rPr>
          <w:rFonts w:ascii="Times New Roman" w:hAnsi="Times New Roman" w:cs="Times New Roman"/>
          <w:i/>
          <w:sz w:val="24"/>
          <w:szCs w:val="24"/>
          <w:u w:val="single"/>
        </w:rPr>
      </w:pPr>
      <w:r w:rsidRPr="008F395D">
        <w:rPr>
          <w:rFonts w:ascii="Times New Roman" w:hAnsi="Times New Roman" w:cs="Times New Roman"/>
          <w:i/>
          <w:sz w:val="24"/>
          <w:szCs w:val="24"/>
          <w:u w:val="single"/>
        </w:rPr>
        <w:t>Edukimi dhe Inovacioni</w:t>
      </w:r>
    </w:p>
    <w:p w:rsidR="008F395D" w:rsidRPr="008F395D" w:rsidRDefault="008F395D" w:rsidP="008F395D">
      <w:pPr>
        <w:jc w:val="both"/>
        <w:rPr>
          <w:rFonts w:ascii="Times New Roman" w:hAnsi="Times New Roman" w:cs="Times New Roman"/>
          <w:sz w:val="24"/>
          <w:szCs w:val="24"/>
        </w:rPr>
      </w:pPr>
      <w:r w:rsidRPr="008F395D">
        <w:rPr>
          <w:rFonts w:ascii="Times New Roman" w:hAnsi="Times New Roman" w:cs="Times New Roman"/>
          <w:sz w:val="24"/>
          <w:szCs w:val="24"/>
        </w:rPr>
        <w:t xml:space="preserve">Përpjekjet për të përmirësuar rëndësinë e tregut të punës të arsimit dhe formimit profesional kanë përparuar, por mospërputhjet e aftësive dhe papunësia e lartë e të rinjve vijojnë. Përqindja e të rinjve në arsimin e larte midis grupmoshës 20-24 vjeç u rrit gradualisht, nga 12.3% në 2016 në 14.9% në 2021, por përqindjet e të rinjve në formimin profesional ose arsimin e mesëm të lartë pothuajse nuk ndryshuan. Në ndryshim nga viti 2020, shkalla e papunësisë së personave me arsim të lartë ra nën normën totale (grupmosha 15-64) dhe ajo e personave me arsim të ulët u rrit. </w:t>
      </w:r>
      <w:r w:rsidRPr="00FD0EB8">
        <w:rPr>
          <w:rFonts w:ascii="Times New Roman" w:hAnsi="Times New Roman" w:cs="Times New Roman"/>
          <w:b/>
          <w:i/>
          <w:sz w:val="24"/>
          <w:szCs w:val="24"/>
        </w:rPr>
        <w:t>Njëkohësisht, bizneset raportuan mungesa në rritje të fuqisë punëtore të kualifikuar, ndërkohë që shkalla ende e lartë e papunësisë së punëkërkuesve me arsim të mesëm tregon se mospërputhjet e aftësive dhe çështjet e cilësisë së arsimit profesional vazhdojnë dhe reformat e vazhdueshme të sistemit të arsimit dhe aftësimit profesional (AFP) duhet të tregojnë ende rezultatet e tyre</w:t>
      </w:r>
      <w:r w:rsidRPr="008F395D">
        <w:rPr>
          <w:rFonts w:ascii="Times New Roman" w:hAnsi="Times New Roman" w:cs="Times New Roman"/>
          <w:sz w:val="24"/>
          <w:szCs w:val="24"/>
        </w:rPr>
        <w:t>. Në vitin 2021, Shqipëria përditësoi standardet profesionale të kualifikimeve dhe kurrikulat përkatëse për tre nga tetë të Katalogut Kombëtar të kualifikimeve profesionale, në bashkëpunim me institucionet e arsimit profesional dhe përfaqësues të biznesit, për të pasqyruar më mirë nevojat e tregut dhe për të inkurajuar një ofertë të larmishme të kualifikimeve. Shqipëria gjithashtu përparoi në përafrimin e kuadrit shqiptar të kualifikimeve me kuadrin evropian të kualifikimeve (EQF) dhe mori miratimin e Bordit Këshillimor të EQF për kuadrin e tij. Kanë nisur përgatitjet për hartimin dhe koordinimin e planit të zbatimit të Skemës së Garancive Rinore në Shqipëri.</w:t>
      </w:r>
    </w:p>
    <w:p w:rsidR="008F395D" w:rsidRDefault="008F395D" w:rsidP="008F395D">
      <w:pPr>
        <w:jc w:val="both"/>
        <w:rPr>
          <w:rFonts w:ascii="Times New Roman" w:hAnsi="Times New Roman" w:cs="Times New Roman"/>
          <w:b/>
          <w:bCs/>
          <w:i/>
          <w:iCs/>
          <w:sz w:val="24"/>
          <w:szCs w:val="24"/>
        </w:rPr>
      </w:pP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2.4. Prokurim</w:t>
      </w:r>
      <w:r>
        <w:rPr>
          <w:rFonts w:ascii="Times New Roman" w:hAnsi="Times New Roman" w:cs="Times New Roman"/>
          <w:b/>
          <w:bCs/>
          <w:i/>
          <w:iCs/>
          <w:sz w:val="24"/>
          <w:szCs w:val="24"/>
        </w:rPr>
        <w:t>i</w:t>
      </w:r>
      <w:r w:rsidRPr="002D12DA">
        <w:rPr>
          <w:rFonts w:ascii="Times New Roman" w:hAnsi="Times New Roman" w:cs="Times New Roman"/>
          <w:b/>
          <w:bCs/>
          <w:i/>
          <w:iCs/>
          <w:sz w:val="24"/>
          <w:szCs w:val="24"/>
        </w:rPr>
        <w:t xml:space="preserve"> publike, statistikat, kontrolli financiar</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Kapitulli 5: Prokurimi publik</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Rregullat e BE-së sigurojnë që prokurimi publik i mallrave, shërbimeve dhe punëve në çdo Shtet Anëtar është transparent dhe i hapur për të gjitha kompanitë e BE-së mbi bazën e mosdiskriminimit dhe trajtimit të barabartë.</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Cs/>
          <w:iCs/>
          <w:sz w:val="24"/>
          <w:szCs w:val="24"/>
        </w:rPr>
        <w:t>Shqipëria është mesatarisht e përgatitur në prokurimet publike. Progres i mirë është bërë gjatë periudhës raportuese, veçanërisht duke miratuar legjislacionin e mëtejshëm për zbatimin e ligjit të ri për prokurimin publik, duke lançuar një sistem elektronik të ankesave dhe ankesave, duke zhvilluar dhe zbatuar një kurs trajnimi të certifikuar për prokurimin publik, duke publikuar raportet e pa</w:t>
      </w:r>
      <w:r>
        <w:rPr>
          <w:rFonts w:ascii="Times New Roman" w:hAnsi="Times New Roman" w:cs="Times New Roman"/>
          <w:bCs/>
          <w:iCs/>
          <w:sz w:val="24"/>
          <w:szCs w:val="24"/>
        </w:rPr>
        <w:t xml:space="preserve">ra të monitorimit për publikun, </w:t>
      </w:r>
      <w:r w:rsidRPr="002D12DA">
        <w:rPr>
          <w:rFonts w:ascii="Times New Roman" w:hAnsi="Times New Roman" w:cs="Times New Roman"/>
          <w:bCs/>
          <w:iCs/>
          <w:sz w:val="24"/>
          <w:szCs w:val="24"/>
        </w:rPr>
        <w:t>strategjinë e prokurimit dhe vendosjen e “të dhënave të hapura” në kohë reale për aktivitetet e prokurimit, dhe përfshirjen e rreziqeve të korrupsionit që lidhen me prokurimin në planet e integritetit të institucioneve. Nevojiten përpjekje të mëtejshme për të përmirësuar përputhshmërinë me procedurat dhe për të parandaluar korrupsionin në ciklin e prokurimit</w:t>
      </w:r>
      <w:r w:rsidRPr="002D12DA">
        <w:rPr>
          <w:rFonts w:ascii="Times New Roman" w:hAnsi="Times New Roman" w:cs="Times New Roman"/>
          <w:b/>
          <w:bCs/>
          <w:i/>
          <w:iCs/>
          <w:sz w:val="24"/>
          <w:szCs w:val="24"/>
        </w:rPr>
        <w:t>. Rekomandimet e Komisionit nga viti 2021 u zbatuan kryesisht. Në vitin e ardhshëm, Shqipëria duhet të:</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 monitoroj</w:t>
      </w:r>
      <w:r w:rsidRPr="002D12DA">
        <w:rPr>
          <w:rFonts w:ascii="Times New Roman" w:hAnsi="Times New Roman" w:cs="Times New Roman"/>
          <w:b/>
          <w:bCs/>
          <w:i/>
          <w:iCs/>
          <w:sz w:val="24"/>
          <w:szCs w:val="24"/>
        </w:rPr>
        <w:t xml:space="preserve"> zbatimin e ligjit të ri të prokurimit publik, në veçanti rritjen e përdorimit të kriterit të dhënies së tenderit ekonomikisht më të favorshëm (MEAT);</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te rris përpjekjet </w:t>
      </w:r>
      <w:r w:rsidRPr="002D12DA">
        <w:rPr>
          <w:rFonts w:ascii="Times New Roman" w:hAnsi="Times New Roman" w:cs="Times New Roman"/>
          <w:b/>
          <w:bCs/>
          <w:i/>
          <w:iCs/>
          <w:sz w:val="24"/>
          <w:szCs w:val="24"/>
        </w:rPr>
        <w:t>për përafrimin e kuadrit legjislativ me acquis të BE-së, veçanërisht në fushën e koncesioneve dhe partneriteteve publike-private (PPP);</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 të sigurojë që kushtet e marrëveshjeve ndërqeveritare të lidhura me vendet e treta të jenë në përputhje me kërkesat e acquis të BE-së të përfshira në MSA, veçanërisht në fushën e prokurimit publik.</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Organizimi institucional dhe harmonizimi ligjor</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 xml:space="preserve">Kuadri ligjor për prokurimin publik është kryesisht në përputhje me direktivat e BE-së të vitit 2004 për prokurimin publik dhe prokurimin e shërbimeve komunale, si dhe me dispozitat përkatëse administrative dhe buxhetore. Ligji i ri për prokurimin publik, i cili hyri në fuqi në vitin 2021, përafroi më tej kuadrin me direktivat e BE-së për prokurimin publik të vitit 2014, </w:t>
      </w:r>
      <w:r w:rsidRPr="002D12DA">
        <w:rPr>
          <w:rFonts w:ascii="Times New Roman" w:hAnsi="Times New Roman" w:cs="Times New Roman"/>
          <w:b/>
          <w:bCs/>
          <w:i/>
          <w:iCs/>
          <w:sz w:val="24"/>
          <w:szCs w:val="24"/>
        </w:rPr>
        <w:t>por pragjet e vendosura për prokurimin konkurrues të mallrave dhe shërbimeve mbeten më të larta.</w:t>
      </w:r>
      <w:r w:rsidRPr="002D12DA">
        <w:rPr>
          <w:rFonts w:ascii="Times New Roman" w:hAnsi="Times New Roman" w:cs="Times New Roman"/>
          <w:bCs/>
          <w:iCs/>
          <w:sz w:val="24"/>
          <w:szCs w:val="24"/>
        </w:rPr>
        <w:t xml:space="preserve"> Legjislacioni zbatues i ligjit të ri u miratua në vitin 2021. Ligji për koncesionet dhe partneritetet publiko-private (PPP) është pjesërisht në përputhje me Direktivën e BE-së për dhënien e kontratave koncesionare.</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Agjencia e Prokurimit Publik (APP) është enti qendror i prokurimit publik i mandatuar të propozojë masat rregullatore dhe të monitorojë respektimin e rregullave të prokurimit publik, dhe që nga ligji i ri, të verifikojë përputhshmërinë e procedurave të anuluara dhe të monitorojë zbatimin e kontratës. APP gjithashtu u ofron autoriteteve kontraktore informacion, mbështetje dhe udhëzime si dhe manuale për operatorët ekonomikë. Në dhjetor 2021, APP prezantoi “të dhëna të hapura” me informacion në kohë reale mbi procedurat e prokurimit publik dhe arkivat që nga viti 2010.</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Kapaciteti zbatues dhe zbatues</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Tregu i prokurimeve publike në Shqipëri përfaqësonte rreth 10,7 % të PBB-së në 2021 krahasuar me 9,4 % (në 2020) dhe 4,8 % (në 2019). Rritjet në 2020-2021 u nxitën kryesisht nga rindërtimi pas tërmetit dhe një rënie e PBB-së për shkak të ndikimit ekonomik të COVID-19. Në vitin 2021, numri mesatar i ofertave për tender ishte 2.5 krahasuar me 2.57 në 2020 dhe 2.37 në 2019. Planifikimi dhe përgatitja e procedurave të prokurimit publik janë përgjithësisht transparente dhe efikase. Parashikimet e prokurimit publik publikohen rregullisht.</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Në dhjetor 2021 u miratua regjimi i prokurimit për shërbimet sociale. Ndërtimi i kapaciteteve në autoritetet kontraktore sipas akteve të reja nënligjore është në vazhdim.</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Të gjitha instrumentet ligjore dhe financiare të përdorura në fushën e prokurimeve publike dhe koncesioneve, përfshirë marrëveshjet ndërqeveritare të lidhura me vendet e treta për zbatimin e projekteve të përbashkëta, </w:t>
      </w:r>
      <w:r w:rsidRPr="002D12DA">
        <w:rPr>
          <w:rFonts w:ascii="Times New Roman" w:hAnsi="Times New Roman" w:cs="Times New Roman"/>
          <w:b/>
          <w:bCs/>
          <w:i/>
          <w:iCs/>
          <w:sz w:val="24"/>
          <w:szCs w:val="24"/>
        </w:rPr>
        <w:t>duhet të jenë në përputhje me parimet e transparencës, konkurrencës, trajtimit të barabartë dhe mosdiskriminimit.</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 xml:space="preserve">Në monitorimin e dhënies dhe zbatimit të kontratës, pas monitorimit të ngushtë nga APP, numri i procedurave të negociuara pa publikim paraprak ka vijuar të bjerë në vitin 2021 në 143 krahasuar me 151 (pa marrë parasysh COVID-19 dhe rindërtimin) në 2020, duke llogaritur 3.4 % për sa i </w:t>
      </w:r>
      <w:r w:rsidRPr="002D12DA">
        <w:rPr>
          <w:rFonts w:ascii="Times New Roman" w:hAnsi="Times New Roman" w:cs="Times New Roman"/>
          <w:bCs/>
          <w:iCs/>
          <w:sz w:val="24"/>
          <w:szCs w:val="24"/>
        </w:rPr>
        <w:lastRenderedPageBreak/>
        <w:t>përket vlerës së të gjitha prokurimeve në atë periudhë. Përdorimi i marrëveshjeve kuadër u rrit më tej në numër (873 krahasuar me 677 në 2020) me një vlerë totale të ngjashme të prokuruar përmes marrëveshjeve kuadër (rreth 354 milionë euro në 2021).</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Shqipëria ka një portal qendror elektronik të prokurimit publik në të cilin publikon njoftimet e tenderëve dhe kontratave dhe informacione dhe udhëzime të tjera të rëndësishme. Përdorimi i portalit është i detyrueshëm, duke përfshirë edhe prokurimet me vlerë të ulët. Regjistri i parashikimit të prokurimit përgatitet dhe postohet online.</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Deri në fund të vitit 2021, regjistri i PPP-ve/koncesioneve përmbante informacion për 229 kontrata, gjashtë prej të cilave ishin nënshkruar në vitin 2021. </w:t>
      </w:r>
      <w:r w:rsidRPr="002D12DA">
        <w:rPr>
          <w:rFonts w:ascii="Times New Roman" w:hAnsi="Times New Roman" w:cs="Times New Roman"/>
          <w:b/>
          <w:bCs/>
          <w:i/>
          <w:iCs/>
          <w:sz w:val="24"/>
          <w:szCs w:val="24"/>
        </w:rPr>
        <w:t>Aftësitë teknike dhe kapaciteti për të hartuar dhe vlerësuar koncesionet dhe PPP-të kërkojnë zhvillim të mëtejshëm.</w:t>
      </w:r>
    </w:p>
    <w:p w:rsid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APP-ja aplikon një sistem monitorimi për të vlerësuar performancën e prokurimit, pajtueshmërinë e prokurimit dhe zbatimin e kontratës</w:t>
      </w:r>
      <w:r>
        <w:rPr>
          <w:rFonts w:ascii="Times New Roman" w:hAnsi="Times New Roman" w:cs="Times New Roman"/>
          <w:bCs/>
          <w:iCs/>
          <w:sz w:val="24"/>
          <w:szCs w:val="24"/>
        </w:rPr>
        <w:t xml:space="preserve">. </w:t>
      </w:r>
      <w:r w:rsidRPr="002D12DA">
        <w:rPr>
          <w:rFonts w:ascii="Times New Roman" w:hAnsi="Times New Roman" w:cs="Times New Roman"/>
          <w:bCs/>
          <w:iCs/>
          <w:sz w:val="24"/>
          <w:szCs w:val="24"/>
        </w:rPr>
        <w:t>Në vitin 2021, në përputhje me ligjin e ri, autoritetet kontraktore i kanë dorëzuar APP-së planet e zbatimit të kontratave për kontratat e nënshkruara. Sistemi i ri elektronik i menaxhimit të kontratave, që mbulon ciklin e plotë të kontratave, është duke u pilotuar.</w:t>
      </w:r>
    </w:p>
    <w:p w:rsid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
          <w:bCs/>
          <w:i/>
          <w:iCs/>
          <w:sz w:val="24"/>
          <w:szCs w:val="24"/>
        </w:rPr>
        <w:t>Autoritetet kontraktore duhet të vazhdojnë të ndërtojnë kapacitete për të menaxhuar proceset e prokurimit publik në përputhje me ligjin e ri përmes trajnimit të më shumë zyrtarëve në autoritetet kontraktore sesa në vitin e kalu</w:t>
      </w:r>
      <w:r w:rsidRPr="002D12DA">
        <w:rPr>
          <w:rFonts w:ascii="Times New Roman" w:hAnsi="Times New Roman" w:cs="Times New Roman"/>
          <w:bCs/>
          <w:iCs/>
          <w:sz w:val="24"/>
          <w:szCs w:val="24"/>
        </w:rPr>
        <w:t xml:space="preserve">ar (1 555 persona të trajnuar në 2021 krahasuar me 970 në 2020). Për sa i përket integritetit dhe konfliktit të interesave, APP ka nxjerrë udhëzime për deklarimin e konfliktit të interesit nga zyrtarët e prokurimit dhe ka miratuar një rregullore për parandalimin e konfliktit të interesit në ushtrimin e funksioneve publike në APP. </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
          <w:bCs/>
          <w:iCs/>
          <w:color w:val="FF0000"/>
          <w:sz w:val="24"/>
          <w:szCs w:val="24"/>
        </w:rPr>
        <w:t>Institucioni i Kontrollit Shtetëror (KLSH) raportoi parregullsi në prokurimin publik, me një humbje të vlerësuar për buxhetin e shtetit prej rreth 3.1 milionë euro</w:t>
      </w:r>
      <w:r w:rsidRPr="002D12DA">
        <w:rPr>
          <w:rFonts w:ascii="Times New Roman" w:hAnsi="Times New Roman" w:cs="Times New Roman"/>
          <w:bCs/>
          <w:iCs/>
          <w:color w:val="FF0000"/>
          <w:sz w:val="24"/>
          <w:szCs w:val="24"/>
        </w:rPr>
        <w:t xml:space="preserve"> </w:t>
      </w:r>
      <w:r w:rsidRPr="002D12DA">
        <w:rPr>
          <w:rFonts w:ascii="Times New Roman" w:hAnsi="Times New Roman" w:cs="Times New Roman"/>
          <w:bCs/>
          <w:iCs/>
          <w:sz w:val="24"/>
          <w:szCs w:val="24"/>
        </w:rPr>
        <w:t>(krahasuar me 2.8 milionë euro në 2020, bazuar në një kampion më të vogël). Në vitin 2021, APP vendosi gjoba për 102 punonjës dhe propozoi masa disiplinore për 145 punonjës.</w:t>
      </w:r>
    </w:p>
    <w:p w:rsidR="002D12DA" w:rsidRPr="00A64E04" w:rsidRDefault="002D12DA" w:rsidP="002D12DA">
      <w:pPr>
        <w:spacing w:line="0" w:lineRule="atLeast"/>
        <w:ind w:left="4"/>
        <w:rPr>
          <w:rFonts w:ascii="Times New Roman" w:eastAsia="Times New Roman" w:hAnsi="Times New Roman" w:cs="Times New Roman"/>
          <w:sz w:val="24"/>
          <w:u w:val="single"/>
          <w:lang w:val="sq-AL"/>
        </w:rPr>
      </w:pPr>
      <w:r w:rsidRPr="00A64E04">
        <w:rPr>
          <w:rFonts w:ascii="Times New Roman" w:eastAsia="Times New Roman" w:hAnsi="Times New Roman" w:cs="Times New Roman"/>
          <w:sz w:val="24"/>
          <w:u w:val="single"/>
          <w:lang w:val="sq-AL"/>
        </w:rPr>
        <w:t xml:space="preserve">Sistemi i mjeteve efektive </w:t>
      </w:r>
    </w:p>
    <w:p w:rsidR="002D12DA" w:rsidRPr="002D12DA" w:rsidRDefault="002D12DA" w:rsidP="002D12DA">
      <w:pPr>
        <w:jc w:val="both"/>
        <w:rPr>
          <w:rFonts w:ascii="Times New Roman" w:hAnsi="Times New Roman" w:cs="Times New Roman"/>
          <w:b/>
          <w:bCs/>
          <w:i/>
          <w:iCs/>
          <w:sz w:val="24"/>
          <w:szCs w:val="24"/>
        </w:rPr>
      </w:pPr>
      <w:r w:rsidRPr="00A64E04">
        <w:rPr>
          <w:rFonts w:ascii="Times New Roman" w:eastAsia="Times New Roman" w:hAnsi="Times New Roman" w:cs="Times New Roman"/>
          <w:sz w:val="24"/>
          <w:lang w:val="sq-AL"/>
        </w:rPr>
        <w:t xml:space="preserve">Kushtetuta dhe ligji “Për prokurimin publik” përmbajnë dispozita për </w:t>
      </w:r>
      <w:r w:rsidRPr="00A64E04">
        <w:rPr>
          <w:rFonts w:ascii="Times New Roman" w:eastAsia="Times New Roman" w:hAnsi="Times New Roman" w:cs="Times New Roman"/>
          <w:b/>
          <w:sz w:val="24"/>
          <w:lang w:val="sq-AL"/>
        </w:rPr>
        <w:t>të drejtën e mjeteve juridike,</w:t>
      </w:r>
      <w:r w:rsidRPr="00A64E04">
        <w:rPr>
          <w:rFonts w:ascii="Times New Roman" w:eastAsia="Times New Roman" w:hAnsi="Times New Roman" w:cs="Times New Roman"/>
          <w:sz w:val="24"/>
          <w:lang w:val="sq-AL"/>
        </w:rPr>
        <w:t xml:space="preserve"> të cilat janë kryesisht në përputhje me Direktivën e Mjeteve Juridike</w:t>
      </w:r>
      <w:r w:rsidRPr="002D12DA">
        <w:rPr>
          <w:rFonts w:ascii="Times New Roman" w:hAnsi="Times New Roman" w:cs="Times New Roman"/>
          <w:bCs/>
          <w:iCs/>
          <w:sz w:val="24"/>
          <w:szCs w:val="24"/>
        </w:rPr>
        <w:t xml:space="preserve">. Sistemi i mjeteve juridike është lehtësisht i aksesueshëm për operatorët ekonomikë, pa diskriminim, megjithëse i </w:t>
      </w:r>
      <w:r w:rsidRPr="002D12DA">
        <w:rPr>
          <w:rFonts w:ascii="Times New Roman" w:hAnsi="Times New Roman" w:cs="Times New Roman"/>
          <w:b/>
          <w:bCs/>
          <w:i/>
          <w:iCs/>
          <w:sz w:val="24"/>
          <w:szCs w:val="24"/>
        </w:rPr>
        <w:t>nënshtrohet një tarife.</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KPP është një organ i pavarur shqyrtues me 36 poste, gjashtë prej të cilave janë vakante, që merret me ankesat lidhur me procedurat e prokurimit publik. Vendimet e tij mund të kundërshtohen në Gjykatën Administrative të Apelit. Përpunimi i ankesave brenda afatit ligjor u përmirësua më tej në vitin 2021 në 89,2 % (krahasuar me 78 % në 2020) me një numër të ngjashëm ankesash të pranuara (768, krahasuar me 741 në 2020). Në tetor 2021, KPP lançoi një sistem të ri të menaxhimit të ankesave elektronike dhe e-ankesave për paraqitjen dhe menaxhimin elektronik të çështjeve si dhe nënshkrimin elektronik të dokumenteve dhe akteve. Sistemi i ri ofron statistika në kohë reale, buletine mujore dhe informacion për palët e interesuara, duke përfshirë personat me shikim të dëmtuar përmes një motori të veçantë aksesi.</w:t>
      </w:r>
    </w:p>
    <w:p w:rsid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
          <w:bCs/>
          <w:i/>
          <w:iCs/>
          <w:sz w:val="24"/>
          <w:szCs w:val="24"/>
        </w:rPr>
        <w:lastRenderedPageBreak/>
        <w:t>Kapaciteti i KPP-së dhe Gjykatës Administrative për t'u marrë me një numër të madh ankesash duhet të përmirësohet më</w:t>
      </w:r>
      <w:r w:rsidRPr="002D12DA">
        <w:rPr>
          <w:rFonts w:ascii="Times New Roman" w:hAnsi="Times New Roman" w:cs="Times New Roman"/>
          <w:bCs/>
          <w:iCs/>
          <w:sz w:val="24"/>
          <w:szCs w:val="24"/>
        </w:rPr>
        <w:t xml:space="preserve"> tej. Si rezultat i një marrëveshjeje bashkëpunimi të lidhur nga KPP me Universitetin e Tiranës për zhvillimin e kurseve të specializuara të trajnimit për prokurimin publik, stafi i PPC përfundoi një kurs trajnimi të certifikuar 13-javor (me tema të ndryshme) nga shtatori deri në dhjetor 2021.</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Kapitulli 18: Statistikat</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Rregullat e BE-së kërkojnë që Shtetet Anëtare të BE-së të jenë në gjendje të prodhojnë statistika të bazuara në pavarësinë profesionale, paanshmërinë, besueshmërinë, transparencën dhe konfidencialitetin. Janë parashikuar rregulla të përbashkëta për metodologjinë, prodhimin dhe shpërndarjen e informacionit statistikor.</w:t>
      </w:r>
    </w:p>
    <w:p w:rsidR="002D12DA" w:rsidRPr="002D12DA" w:rsidRDefault="002D12DA" w:rsidP="002D12DA">
      <w:pPr>
        <w:shd w:val="clear" w:color="auto" w:fill="AEAAAA" w:themeFill="background2" w:themeFillShade="BF"/>
        <w:jc w:val="both"/>
        <w:rPr>
          <w:rFonts w:ascii="Times New Roman" w:hAnsi="Times New Roman" w:cs="Times New Roman"/>
          <w:bCs/>
          <w:iCs/>
          <w:sz w:val="24"/>
          <w:szCs w:val="24"/>
        </w:rPr>
      </w:pPr>
      <w:r w:rsidRPr="002D12DA">
        <w:rPr>
          <w:rFonts w:ascii="Times New Roman" w:hAnsi="Times New Roman" w:cs="Times New Roman"/>
          <w:bCs/>
          <w:iCs/>
          <w:sz w:val="24"/>
          <w:szCs w:val="24"/>
        </w:rPr>
        <w:t xml:space="preserve">Shqipëria është mesatarisht e përgatitur për statistikat. Është bërë përparim i kufizuar në adresimin e rekomandimeve të vitit të kaluar. Ka pasur gjithashtu përparim në përafrimin e mëtejshëm me standardet ESA 2010, publikim më të shpejtë të statistikave dhe rritje të transmetimit në Eurostat. Është miratuar edhe programi zyrtar i statistikave 2022-2026 dhe po vazhdojnë përgatitjet për Regjistrimin e Popullsisë dhe Banesave. Roli i Sistemit Kombëtar të Statistikave të Shqipërisë (INSTAT) u forcua më tej dhe burimet e tij u përmirësuan; megjithatë, metodat e mbledhjes së të dhënave </w:t>
      </w:r>
      <w:r w:rsidRPr="002D12DA">
        <w:rPr>
          <w:rFonts w:ascii="Times New Roman" w:hAnsi="Times New Roman" w:cs="Times New Roman"/>
          <w:b/>
          <w:bCs/>
          <w:i/>
          <w:iCs/>
          <w:sz w:val="24"/>
          <w:szCs w:val="24"/>
        </w:rPr>
        <w:t>duhet të modernizohen dhe proceset e prodhimit statistikor duhet të përmirësohen</w:t>
      </w:r>
      <w:r w:rsidRPr="002D12DA">
        <w:rPr>
          <w:rFonts w:ascii="Times New Roman" w:hAnsi="Times New Roman" w:cs="Times New Roman"/>
          <w:bCs/>
          <w:iCs/>
          <w:sz w:val="24"/>
          <w:szCs w:val="24"/>
        </w:rPr>
        <w:t>.</w:t>
      </w:r>
    </w:p>
    <w:p w:rsidR="002D12DA" w:rsidRPr="002D12DA" w:rsidRDefault="002D12DA" w:rsidP="002D12DA">
      <w:pPr>
        <w:shd w:val="clear" w:color="auto" w:fill="AEAAAA" w:themeFill="background2" w:themeFillShade="BF"/>
        <w:jc w:val="both"/>
        <w:rPr>
          <w:rFonts w:ascii="Times New Roman" w:hAnsi="Times New Roman" w:cs="Times New Roman"/>
          <w:bCs/>
          <w:iCs/>
          <w:sz w:val="24"/>
          <w:szCs w:val="24"/>
        </w:rPr>
      </w:pPr>
      <w:r w:rsidRPr="002D12DA">
        <w:rPr>
          <w:rFonts w:ascii="Times New Roman" w:hAnsi="Times New Roman" w:cs="Times New Roman"/>
          <w:bCs/>
          <w:iCs/>
          <w:sz w:val="24"/>
          <w:szCs w:val="24"/>
        </w:rPr>
        <w:t>Në vitin e ardhshëm, Shqipëria duhet të:</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 </w:t>
      </w:r>
      <w:r w:rsidRPr="002D12DA">
        <w:rPr>
          <w:rFonts w:ascii="Times New Roman" w:hAnsi="Times New Roman" w:cs="Times New Roman"/>
          <w:b/>
          <w:bCs/>
          <w:i/>
          <w:iCs/>
          <w:sz w:val="24"/>
          <w:szCs w:val="24"/>
        </w:rPr>
        <w:t>Zbatimi i Regjistrimit të Popullsisë dhe Banesave 2023 dhe përgatitja e planit dhe sigurimi i burimeve për regjistrimin e fermave bujqësore në përputhje me acquis përkatëse të BE-së dhe standardet ndërkombëtare;</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 përmirësimi i rolit të Sistemit Kombëtar të Statistikave të Shqipërisë (INSTAT) si koordinator i statistikave kombëtare dhe zgjerimi i numrit të agjencive statistikore;</w:t>
      </w:r>
    </w:p>
    <w:p w:rsidR="002D12DA" w:rsidRPr="002D12DA" w:rsidRDefault="002D12DA" w:rsidP="002D12DA">
      <w:pPr>
        <w:shd w:val="clear" w:color="auto" w:fill="AEAAAA" w:themeFill="background2" w:themeFillShade="BF"/>
        <w:jc w:val="both"/>
        <w:rPr>
          <w:rFonts w:ascii="Times New Roman" w:hAnsi="Times New Roman" w:cs="Times New Roman"/>
          <w:b/>
          <w:bCs/>
          <w:i/>
          <w:iCs/>
          <w:sz w:val="24"/>
          <w:szCs w:val="24"/>
        </w:rPr>
      </w:pPr>
      <w:r w:rsidRPr="002D12DA">
        <w:rPr>
          <w:rFonts w:ascii="Times New Roman" w:hAnsi="Times New Roman" w:cs="Times New Roman"/>
          <w:b/>
          <w:bCs/>
          <w:i/>
          <w:iCs/>
          <w:sz w:val="24"/>
          <w:szCs w:val="24"/>
        </w:rPr>
        <w:t> INSTAT duhet të rrisë prodhimin dhe transmetimin e të dhënave në kohë dhe me cilësi të lartë në Eurostat.</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 xml:space="preserve">Për infrastrukturën statistikore, ligji i Shqipërisë për statistikat zyrtare është në përputhje me Kodin e Praktikës së Statistikave Evropiane dhe shumica e klasifikimeve janë në përputhje me standardet e BE-së. Programi i Statistikave Zyrtare 2022-2026 u miratua në Mars 2022 dhe Sistemi Kombëtar i Statistikave të Shqipërisë (INSTAT) ka nisur zbatimin e tij. Plani Vjetor për vitin 2022 nuk ishte miratuar ende në qershor 2022. Në gusht 2022, INSTAT njoftoi se Regjistrimi i Popullsisë dhe Banesave do të shtyhej për në vitin 2023 për shkak të problemeve teknike. Ndërsa bëri disa përpjekje për të plotësuar vendet e lira, </w:t>
      </w:r>
      <w:r w:rsidRPr="002D12DA">
        <w:rPr>
          <w:rFonts w:ascii="Times New Roman" w:hAnsi="Times New Roman" w:cs="Times New Roman"/>
          <w:b/>
          <w:bCs/>
          <w:i/>
          <w:iCs/>
          <w:sz w:val="24"/>
          <w:szCs w:val="24"/>
        </w:rPr>
        <w:t>duhen bërë përpjekje të mëtejshme për të reduktuar qarkullimin dhe për të siguruar që nivelet e personelit të jenë të mjaftueshme për të siguruar nevojat e prodhimit dhe që stafi të jetë i trajnuar mirë për zhvillimet më të fundit statistikore</w:t>
      </w:r>
      <w:r w:rsidRPr="002D12DA">
        <w:rPr>
          <w:rFonts w:ascii="Times New Roman" w:hAnsi="Times New Roman" w:cs="Times New Roman"/>
          <w:bCs/>
          <w:iCs/>
          <w:sz w:val="24"/>
          <w:szCs w:val="24"/>
        </w:rPr>
        <w:t>.</w:t>
      </w:r>
    </w:p>
    <w:p w:rsid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Në statistikat makroekonomike, të dhënat vjetore dhe tremujore të PBB-së prodhohen sipas metodës së prodhimit dhe shpenzimeve, në çmimet e vitit aktual dhe të vitit të kaluar, si dhe në vëllim të lidhur me zinxhir dhe të rregulluara sezonalisht. Tabelat e furnizimit dhe përdorimit dhe tabelat hyrëse-output të prejardhura janë të harmonizuara me përkufizimet e Sistemit Evropian të </w:t>
      </w:r>
      <w:r w:rsidRPr="002D12DA">
        <w:rPr>
          <w:rFonts w:ascii="Times New Roman" w:hAnsi="Times New Roman" w:cs="Times New Roman"/>
          <w:bCs/>
          <w:iCs/>
          <w:sz w:val="24"/>
          <w:szCs w:val="24"/>
        </w:rPr>
        <w:lastRenderedPageBreak/>
        <w:t xml:space="preserve">Llogarive Kombëtare dhe Rajonale (ESA 2010). Për llogaritë kombëtare, transmetimi i të dhënave në Eurostat është përmirësuar gradualisht për sa i përket afatit kohor, kryesisht në lidhje me gjatësinë e serive kohore për llogaritë kombëtare vjetore. </w:t>
      </w:r>
      <w:r w:rsidRPr="002D12DA">
        <w:rPr>
          <w:rFonts w:ascii="Times New Roman" w:hAnsi="Times New Roman" w:cs="Times New Roman"/>
          <w:b/>
          <w:bCs/>
          <w:i/>
          <w:iCs/>
          <w:sz w:val="24"/>
          <w:szCs w:val="24"/>
        </w:rPr>
        <w:t>Megjithatë, nevojitet ende përmirësim i dukshëm për të arritur përputhshmërinë e plotë (kryesisht PBB-ja tremujore sipas qasjes së të ardhurave, si dhe të dhënat e popullsisë dhe punësimit</w:t>
      </w:r>
      <w:r w:rsidRPr="002D12DA">
        <w:rPr>
          <w:rFonts w:ascii="Times New Roman" w:hAnsi="Times New Roman" w:cs="Times New Roman"/>
          <w:bCs/>
          <w:iCs/>
          <w:sz w:val="24"/>
          <w:szCs w:val="24"/>
        </w:rPr>
        <w:t xml:space="preserve">). Pavarësisht progresit në përafrimin me standardet ESA 2010, </w:t>
      </w:r>
      <w:r w:rsidRPr="002D12DA">
        <w:rPr>
          <w:rFonts w:ascii="Times New Roman" w:hAnsi="Times New Roman" w:cs="Times New Roman"/>
          <w:b/>
          <w:bCs/>
          <w:i/>
          <w:iCs/>
          <w:sz w:val="24"/>
          <w:szCs w:val="24"/>
        </w:rPr>
        <w:t>Shqipëria duhet të përmirësojë më tej përputhshmërinë me kërkesat metodologjike, duke zbatuar përmirësimet e arritura në rishikimin e ardhshëm të standardit në vitin 2024.</w:t>
      </w:r>
      <w:r w:rsidRPr="002D12DA">
        <w:rPr>
          <w:rFonts w:ascii="Times New Roman" w:hAnsi="Times New Roman" w:cs="Times New Roman"/>
          <w:bCs/>
          <w:iCs/>
          <w:sz w:val="24"/>
          <w:szCs w:val="24"/>
        </w:rPr>
        <w:t xml:space="preserve"> Inventari i të ardhurave kombëtare bruto (GNI) që përshkruan burimet dhe metodat e përdorura për përpilimin e llogarive kombëtare, është pastaj të përditësohet. </w:t>
      </w:r>
      <w:r w:rsidRPr="002D12DA">
        <w:rPr>
          <w:rFonts w:ascii="Times New Roman" w:hAnsi="Times New Roman" w:cs="Times New Roman"/>
          <w:b/>
          <w:bCs/>
          <w:i/>
          <w:iCs/>
          <w:sz w:val="24"/>
          <w:szCs w:val="24"/>
        </w:rPr>
        <w:t>Nevojiten gjithashtu përpjekje për të siguruar plotësinë e tabelave të njoftimit të procedurës së deficitit të tepërt, të cilat i dërgohen rregullisht Eurostat-it mbi bazën e përpjekjeve më të mira. Gjithashtu nevojiten përmirësime në statistikat e financave të qeverisë për të përmbushur kërkesat e acquis të BE-së. INSTAT prodhon dhe publikon indeksin e harmonizuar të çmimeve të konsumit dhe siguron gjenerimin e llogarive të të ardhurave.</w:t>
      </w:r>
    </w:p>
    <w:p w:rsidR="002D12DA" w:rsidRDefault="002D12DA" w:rsidP="002D12DA">
      <w:pPr>
        <w:jc w:val="both"/>
        <w:rPr>
          <w:rFonts w:ascii="Times New Roman" w:hAnsi="Times New Roman" w:cs="Times New Roman"/>
          <w:b/>
          <w:bCs/>
          <w:i/>
          <w:iCs/>
          <w:sz w:val="24"/>
          <w:szCs w:val="24"/>
        </w:rPr>
      </w:pP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
          <w:iCs/>
          <w:sz w:val="24"/>
          <w:szCs w:val="24"/>
        </w:rPr>
        <w:t>Në statistikat e biznesit, mbledhja dhe prodhimi i të dhënave janë përmirësuar. Shqipëria kryen një anketë të prodhimit industrial, ndonëse të dhënat aktualisht nuk janë mbledhur apo transmetuar në Eurostat</w:t>
      </w:r>
      <w:r w:rsidRPr="002D12DA">
        <w:rPr>
          <w:rFonts w:ascii="Times New Roman" w:hAnsi="Times New Roman" w:cs="Times New Roman"/>
          <w:b/>
          <w:bCs/>
          <w:i/>
          <w:iCs/>
          <w:sz w:val="24"/>
          <w:szCs w:val="24"/>
        </w:rPr>
        <w:t xml:space="preserve">. Shqipëria është pjesërisht në përputhje me të gjitha fushat e statistikave afatshkurtra (industria, ndërtimi, tregtia me pakicë dhe shërbime të tjera). Megjithatë, disa tregues të rëndësishëm ende nuk janë transmetuar në Eurostat, veçanërisht për prodhimin industrial, qarkullimin industrial dhe çmimet e prodhimit të shërbimeve. </w:t>
      </w:r>
      <w:r w:rsidRPr="002D12DA">
        <w:rPr>
          <w:rFonts w:ascii="Times New Roman" w:hAnsi="Times New Roman" w:cs="Times New Roman"/>
          <w:bCs/>
          <w:iCs/>
          <w:sz w:val="24"/>
          <w:szCs w:val="24"/>
        </w:rPr>
        <w:t>INSTAT vazhdon të arrijë ritme mjaft të larta përgjigjeje si në anketat e bizneseve ashtu edhe në ato familjare.</w:t>
      </w:r>
    </w:p>
    <w:p w:rsidR="002D12DA" w:rsidRPr="002D12DA" w:rsidRDefault="002D12DA" w:rsidP="002D12DA">
      <w:pPr>
        <w:jc w:val="both"/>
        <w:rPr>
          <w:rFonts w:ascii="Times New Roman" w:hAnsi="Times New Roman" w:cs="Times New Roman"/>
          <w:bCs/>
          <w:iCs/>
          <w:sz w:val="24"/>
          <w:szCs w:val="24"/>
        </w:rPr>
      </w:pPr>
      <w:r w:rsidRPr="002D12DA">
        <w:rPr>
          <w:rFonts w:ascii="Times New Roman" w:hAnsi="Times New Roman" w:cs="Times New Roman"/>
          <w:bCs/>
          <w:iCs/>
          <w:sz w:val="24"/>
          <w:szCs w:val="24"/>
        </w:rPr>
        <w:t>Për statistikat sociale, INSTAT vazhdon të kryejë rregullisht anketën e fuqisë punëtore dhe Eurostat-it i jepen mikro-të dhëna, por ende nuk prodhon statistika për vendet e lira të punës. Statistikat e kostos së punës llogariten bazuar në një anketë të kostos së punës. INSTAT vijon të kryejë vrojtimin e valës së të ardhurave dhe kushteve të jetesës (SILC) dhe të dhënat janë vërtetuar dhe publikuar nga Eurostat. Të dhënat për varfërinë e familjeve dhe fëmijëve janë publikuar duke përdorur anketën EUROSTAT EU-SILC. Statistikat për migracionin e jashtëm dhe azilin janë pjesërisht në përputhje me acquis të BE-së. Statistikat e krimit shpërndahen në baza vjetore dhe bazohen plotësisht në burime administrative. Statistikat e krimit në Shqipëri klasifikohen në bazë të kodit penal dhe ligjeve kombëtare, por INSTAT po punon për hartëzimin me Klasifikimin Ndërkombëtar të Krimit për Qëllime Statistikore (ICCS). Mbledhja e të dhënave të ndara sipas gjinisë është përmirësuar - programi i ri i statistikave zyrtare përfshin dispozita për mbledhjen dhe analizimin e statistikave gjinore. Nevojiten përpjekje të mëtejshme për të prodhuar të dhëna të ndara për grupe të caktuara, veçanërisht përhapja e dhunës dhe ngacmimit në punë; dhe mbi të dhënat e ndara sipas gjinisë dhe vendndodhjes gjeografike, moshës, përkatësisë etnike, aftësive të kufizuara dhe statusit të migrimit. Regjistrimi i popullsisë dhe banesave më parë ishte shtyrë për në vitin 2022 për shkak të ndikimit të pandemisë COVID-19 dhe zgjedhjeve kombëtare, por tani është shtyrë për në vitin 2023 për shkak të problemeve teknike. Është bërë përparim në përgatitjen e këtij regjistrimi, duke përfshirë aktivitetet e</w:t>
      </w:r>
      <w:r w:rsidRPr="002D12DA">
        <w:rPr>
          <w:rFonts w:ascii="Times New Roman" w:hAnsi="Times New Roman" w:cs="Times New Roman"/>
          <w:b/>
          <w:bCs/>
          <w:i/>
          <w:iCs/>
          <w:sz w:val="24"/>
          <w:szCs w:val="24"/>
        </w:rPr>
        <w:t xml:space="preserve"> </w:t>
      </w:r>
      <w:r w:rsidRPr="002D12DA">
        <w:rPr>
          <w:rFonts w:ascii="Times New Roman" w:hAnsi="Times New Roman" w:cs="Times New Roman"/>
          <w:bCs/>
          <w:iCs/>
          <w:sz w:val="24"/>
          <w:szCs w:val="24"/>
        </w:rPr>
        <w:t xml:space="preserve">komunikimit dhe një regjistrim të dytë pilot, por </w:t>
      </w:r>
      <w:r w:rsidRPr="002D12DA">
        <w:rPr>
          <w:rFonts w:ascii="Times New Roman" w:hAnsi="Times New Roman" w:cs="Times New Roman"/>
          <w:bCs/>
          <w:iCs/>
          <w:sz w:val="24"/>
          <w:szCs w:val="24"/>
        </w:rPr>
        <w:lastRenderedPageBreak/>
        <w:t>Shqipëria duhet të sigurojë financim për zbatimin e plotë të tij dhe të përdorë të dhënat administrative aty ku është e mundur.</w:t>
      </w:r>
    </w:p>
    <w:p w:rsidR="002D12DA" w:rsidRP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Statistikat bujqësore janë pjesërisht në përputhje me acquis të BE-së. Cilësia e të dhënave duhet të përmirësohet ende në regjistrat administrativë, si regjistri i fermerëve, regjistri individual i kafshëve dhe regjistrat e zotërimeve të kafshëve. </w:t>
      </w:r>
      <w:r w:rsidRPr="002D12DA">
        <w:rPr>
          <w:rFonts w:ascii="Times New Roman" w:hAnsi="Times New Roman" w:cs="Times New Roman"/>
          <w:b/>
          <w:bCs/>
          <w:i/>
          <w:iCs/>
          <w:sz w:val="24"/>
          <w:szCs w:val="24"/>
        </w:rPr>
        <w:t>Gjithashtu, INSTAT duhet të finalizojë dokumentet e nevojshme për regjistrimin e fermave bujqësore, i cili është ende i planifikuar për vitin 2024, duke përfshirë një plan veprimi dhe buxhet përkatës, si dhe të sigurojë fondet e nevojshme për zbatimin me sukses të tij.</w:t>
      </w:r>
    </w:p>
    <w:p w:rsidR="002D12DA" w:rsidRDefault="002D12DA" w:rsidP="002D12DA">
      <w:pPr>
        <w:jc w:val="both"/>
        <w:rPr>
          <w:rFonts w:ascii="Times New Roman" w:hAnsi="Times New Roman" w:cs="Times New Roman"/>
          <w:b/>
          <w:bCs/>
          <w:i/>
          <w:iCs/>
          <w:sz w:val="24"/>
          <w:szCs w:val="24"/>
        </w:rPr>
      </w:pPr>
      <w:r w:rsidRPr="002D12DA">
        <w:rPr>
          <w:rFonts w:ascii="Times New Roman" w:hAnsi="Times New Roman" w:cs="Times New Roman"/>
          <w:bCs/>
          <w:iCs/>
          <w:sz w:val="24"/>
          <w:szCs w:val="24"/>
        </w:rPr>
        <w:t xml:space="preserve">Statistikat mjedisore janë vetëm pjesërisht të përafruara me acquis të BE-së, ndërsa statistikat e energjisë janë të përafruara mesatarisht. INSTAT dhe Agjencia Kombëtare e Burimeve Natyrore prodhojnë statistika mujore dhe vjetore të energjisë për bilancet e mallrave për të gjitha produktet energjetike (karburantet) që përdoren në Shqipëri si dhe çmimet e energjisë elektrike për familjet dhe industrinë. Llogaritë e flukseve materiale janë të harmonizuara mirë me acquis të BE-së. Llogaritë e emetimeve në ajër, llogaritë e rrjedhës së energjisë fizike dhe taksat mjedisore sipas aktivitetit ekonomik mbeten pjesërisht në përputhje me kërkesat e BE-së. </w:t>
      </w:r>
      <w:r w:rsidRPr="002D12DA">
        <w:rPr>
          <w:rFonts w:ascii="Times New Roman" w:hAnsi="Times New Roman" w:cs="Times New Roman"/>
          <w:b/>
          <w:bCs/>
          <w:i/>
          <w:iCs/>
          <w:sz w:val="24"/>
          <w:szCs w:val="24"/>
        </w:rPr>
        <w:t>Statistikat e mbetjeve janë përmirësuar, por ato ende nuk janë të harmonizuara plotësisht. Të dhënat për mbetjet e ambalazhimit janë gjithnjë e më thelbësore pasi ato janë baza për një burim të ri të buxhetit të BE-së për mbetjet e paketimit të plastikës të pa ricikluar. Shqipëria tashmë mbledh të dhëna për mbetjet bashkiake.</w:t>
      </w:r>
    </w:p>
    <w:p w:rsidR="00547F07" w:rsidRDefault="00547F07" w:rsidP="002D12DA">
      <w:pPr>
        <w:jc w:val="both"/>
        <w:rPr>
          <w:rFonts w:ascii="Times New Roman" w:hAnsi="Times New Roman" w:cs="Times New Roman"/>
          <w:b/>
          <w:bCs/>
          <w:i/>
          <w:iCs/>
          <w:sz w:val="24"/>
          <w:szCs w:val="24"/>
        </w:rPr>
      </w:pPr>
    </w:p>
    <w:p w:rsidR="00547F07" w:rsidRPr="00547F07" w:rsidRDefault="00547F07" w:rsidP="00547F07">
      <w:pPr>
        <w:jc w:val="both"/>
        <w:rPr>
          <w:rFonts w:ascii="Times New Roman" w:hAnsi="Times New Roman" w:cs="Times New Roman"/>
          <w:b/>
          <w:bCs/>
          <w:i/>
          <w:iCs/>
          <w:sz w:val="24"/>
          <w:szCs w:val="24"/>
        </w:rPr>
      </w:pPr>
      <w:r>
        <w:rPr>
          <w:rFonts w:ascii="Times New Roman" w:hAnsi="Times New Roman" w:cs="Times New Roman"/>
          <w:b/>
          <w:bCs/>
          <w:i/>
          <w:iCs/>
          <w:sz w:val="24"/>
          <w:szCs w:val="24"/>
        </w:rPr>
        <w:t>K</w:t>
      </w:r>
      <w:r w:rsidRPr="00547F07">
        <w:rPr>
          <w:rFonts w:ascii="Times New Roman" w:hAnsi="Times New Roman" w:cs="Times New Roman"/>
          <w:b/>
          <w:bCs/>
          <w:i/>
          <w:iCs/>
          <w:sz w:val="24"/>
          <w:szCs w:val="24"/>
        </w:rPr>
        <w:t>apitulli 32: Kontrolli financiar</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BE-ja promovon reformën e sistemeve kombëtare të qeverisjes për të përmirësuar llogaridhënien menaxheriale, menaxhimin e shëndoshë financiar të të ardhurave dhe shpenzimeve dhe auditimin e jashtëm të fondeve publike. Rregullat e kontrollit financiar mbrojnë më tej interesat financiare të BE-së kundër mashtrimit në menaxhimin e fondeve të BE-së dhe euron kundër falsifikimit.</w:t>
      </w:r>
    </w:p>
    <w:p w:rsidR="00547F07" w:rsidRPr="00547F07" w:rsidRDefault="00547F07" w:rsidP="00547F07">
      <w:pPr>
        <w:shd w:val="clear" w:color="auto" w:fill="AEAAAA" w:themeFill="background2" w:themeFillShade="BF"/>
        <w:jc w:val="both"/>
        <w:rPr>
          <w:rFonts w:ascii="Times New Roman" w:hAnsi="Times New Roman" w:cs="Times New Roman"/>
          <w:b/>
          <w:bCs/>
          <w:iCs/>
          <w:sz w:val="24"/>
          <w:szCs w:val="24"/>
        </w:rPr>
      </w:pPr>
      <w:r w:rsidRPr="00547F07">
        <w:rPr>
          <w:rFonts w:ascii="Times New Roman" w:hAnsi="Times New Roman" w:cs="Times New Roman"/>
          <w:bCs/>
          <w:iCs/>
          <w:sz w:val="24"/>
          <w:szCs w:val="24"/>
        </w:rPr>
        <w:t xml:space="preserve">Shqipëria është mesatarisht e përgatitur në fushën e kontrollit financiar. Është bërë njëfarë progresi gjatë periudhës raportuese, veçanërisht me zbatimin e dokumentit të politikave për forcimin e kontrollit të brendshëm financiar publik (KBFP), udhëzimet për detyrimet e prapambetura të auditimit, miratimin e manualit të rishikuar të auditimit të performancës dhe përafrimin e mëtejshëm me acquis të BE-së për falsifikimin, kartëmonedha dhe monedha. </w:t>
      </w:r>
      <w:r w:rsidRPr="00547F07">
        <w:rPr>
          <w:rFonts w:ascii="Times New Roman" w:hAnsi="Times New Roman" w:cs="Times New Roman"/>
          <w:b/>
          <w:bCs/>
          <w:iCs/>
          <w:sz w:val="24"/>
          <w:szCs w:val="24"/>
        </w:rPr>
        <w:t>Kontrolli i brendshëm nuk është siguruar ende në njësitë buxhetore dhe ai duhet të rritet nëpërmjet një angazhimi më të fortë ndërmjet Kontrollit të Lartë të Shtetit, Kuvendit dhe Ministrisë së Financave dhe Ekonomisë.</w:t>
      </w:r>
    </w:p>
    <w:p w:rsidR="00547F07" w:rsidRPr="00547F07" w:rsidRDefault="00547F07" w:rsidP="00547F07">
      <w:pPr>
        <w:shd w:val="clear" w:color="auto" w:fill="AEAAAA" w:themeFill="background2" w:themeFillShade="BF"/>
        <w:jc w:val="both"/>
        <w:rPr>
          <w:rFonts w:ascii="Times New Roman" w:hAnsi="Times New Roman" w:cs="Times New Roman"/>
          <w:bCs/>
          <w:i/>
          <w:iCs/>
          <w:sz w:val="24"/>
          <w:szCs w:val="24"/>
        </w:rPr>
      </w:pPr>
      <w:r w:rsidRPr="00547F07">
        <w:rPr>
          <w:rFonts w:ascii="Times New Roman" w:hAnsi="Times New Roman" w:cs="Times New Roman"/>
          <w:bCs/>
          <w:i/>
          <w:iCs/>
          <w:sz w:val="24"/>
          <w:szCs w:val="24"/>
        </w:rPr>
        <w:t>Meqenëse është bërë vetëm një përparim i pjesshëm me rekomandimet e Komisionit të vitit 2021, këto mbeten të vlefshme. Në vitin e ardhshëm, Shqipëria duhet të:</w:t>
      </w:r>
    </w:p>
    <w:p w:rsidR="00547F07" w:rsidRPr="00547F07" w:rsidRDefault="00547F07" w:rsidP="00547F07">
      <w:pPr>
        <w:shd w:val="clear" w:color="auto" w:fill="AEAAAA" w:themeFill="background2" w:themeFillShade="BF"/>
        <w:jc w:val="both"/>
        <w:rPr>
          <w:rFonts w:ascii="Times New Roman" w:hAnsi="Times New Roman" w:cs="Times New Roman"/>
          <w:bCs/>
          <w:i/>
          <w:iCs/>
          <w:sz w:val="24"/>
          <w:szCs w:val="24"/>
        </w:rPr>
      </w:pPr>
      <w:r w:rsidRPr="00547F07">
        <w:rPr>
          <w:rFonts w:ascii="Times New Roman" w:hAnsi="Times New Roman" w:cs="Times New Roman"/>
          <w:bCs/>
          <w:i/>
          <w:iCs/>
          <w:sz w:val="24"/>
          <w:szCs w:val="24"/>
        </w:rPr>
        <w:t> zbato</w:t>
      </w:r>
      <w:r>
        <w:rPr>
          <w:rFonts w:ascii="Times New Roman" w:hAnsi="Times New Roman" w:cs="Times New Roman"/>
          <w:bCs/>
          <w:i/>
          <w:iCs/>
          <w:sz w:val="24"/>
          <w:szCs w:val="24"/>
        </w:rPr>
        <w:t>je</w:t>
      </w:r>
      <w:r w:rsidRPr="00547F07">
        <w:rPr>
          <w:rFonts w:ascii="Times New Roman" w:hAnsi="Times New Roman" w:cs="Times New Roman"/>
          <w:bCs/>
          <w:i/>
          <w:iCs/>
          <w:sz w:val="24"/>
          <w:szCs w:val="24"/>
        </w:rPr>
        <w:t xml:space="preserve"> udhëzimet për delegimin financiar të përgjegjësive dhe nxjerr udhëzime për delegimin e përgjegjësive menaxheriale me qëllim të përmirësimit të llogaridhënies menaxheriale;</w:t>
      </w:r>
    </w:p>
    <w:p w:rsidR="00547F07" w:rsidRPr="00547F07" w:rsidRDefault="00547F07" w:rsidP="00547F07">
      <w:pPr>
        <w:shd w:val="clear" w:color="auto" w:fill="AEAAAA" w:themeFill="background2" w:themeFillShade="BF"/>
        <w:jc w:val="both"/>
        <w:rPr>
          <w:rFonts w:ascii="Times New Roman" w:hAnsi="Times New Roman" w:cs="Times New Roman"/>
          <w:bCs/>
          <w:i/>
          <w:iCs/>
          <w:sz w:val="24"/>
          <w:szCs w:val="24"/>
        </w:rPr>
      </w:pPr>
      <w:r w:rsidRPr="00547F07">
        <w:rPr>
          <w:rFonts w:ascii="Times New Roman" w:hAnsi="Times New Roman" w:cs="Times New Roman"/>
          <w:bCs/>
          <w:i/>
          <w:iCs/>
          <w:sz w:val="24"/>
          <w:szCs w:val="24"/>
        </w:rPr>
        <w:lastRenderedPageBreak/>
        <w:t> monitoro</w:t>
      </w:r>
      <w:r>
        <w:rPr>
          <w:rFonts w:ascii="Times New Roman" w:hAnsi="Times New Roman" w:cs="Times New Roman"/>
          <w:bCs/>
          <w:i/>
          <w:iCs/>
          <w:sz w:val="24"/>
          <w:szCs w:val="24"/>
        </w:rPr>
        <w:t>j</w:t>
      </w:r>
      <w:r w:rsidRPr="00547F07">
        <w:rPr>
          <w:rFonts w:ascii="Times New Roman" w:hAnsi="Times New Roman" w:cs="Times New Roman"/>
          <w:bCs/>
          <w:i/>
          <w:iCs/>
          <w:sz w:val="24"/>
          <w:szCs w:val="24"/>
        </w:rPr>
        <w:t xml:space="preserve"> dhe ndjek zbatimin e rekomandimeve të bëra në raportin vjetor të KBFP në institucionet buxhetore;</w:t>
      </w:r>
    </w:p>
    <w:p w:rsidR="00547F07" w:rsidRPr="00547F07" w:rsidRDefault="00547F07" w:rsidP="00547F07">
      <w:pPr>
        <w:shd w:val="clear" w:color="auto" w:fill="AEAAAA" w:themeFill="background2" w:themeFillShade="BF"/>
        <w:jc w:val="both"/>
        <w:rPr>
          <w:rFonts w:ascii="Times New Roman" w:hAnsi="Times New Roman" w:cs="Times New Roman"/>
          <w:bCs/>
          <w:i/>
          <w:iCs/>
          <w:sz w:val="24"/>
          <w:szCs w:val="24"/>
        </w:rPr>
      </w:pPr>
      <w:r>
        <w:rPr>
          <w:rFonts w:ascii="Times New Roman" w:hAnsi="Times New Roman" w:cs="Times New Roman"/>
          <w:bCs/>
          <w:i/>
          <w:iCs/>
          <w:sz w:val="24"/>
          <w:szCs w:val="24"/>
        </w:rPr>
        <w:t> Rris</w:t>
      </w:r>
      <w:r w:rsidRPr="00547F07">
        <w:rPr>
          <w:rFonts w:ascii="Times New Roman" w:hAnsi="Times New Roman" w:cs="Times New Roman"/>
          <w:bCs/>
          <w:i/>
          <w:iCs/>
          <w:sz w:val="24"/>
          <w:szCs w:val="24"/>
        </w:rPr>
        <w:t xml:space="preserve"> e kontrollit parlamentar të organeve të audituara në zbatimin e rekomandimeve të auditimit të jashtëm, nëpërmjet dëgjimeve më të shpeshta parlamentare dhe krijimit të një kuadri monitorues parlamentar për të vlerësuar rregullisht veprimet vijuese të qeverisë.</w:t>
      </w:r>
    </w:p>
    <w:p w:rsidR="00547F07" w:rsidRPr="00547F07" w:rsidRDefault="00547F07" w:rsidP="00547F07">
      <w:pPr>
        <w:jc w:val="both"/>
        <w:rPr>
          <w:rFonts w:ascii="Times New Roman" w:hAnsi="Times New Roman" w:cs="Times New Roman"/>
          <w:b/>
          <w:bCs/>
          <w:i/>
          <w:iCs/>
          <w:sz w:val="24"/>
          <w:szCs w:val="24"/>
        </w:rPr>
      </w:pPr>
      <w:r w:rsidRPr="00547F07">
        <w:rPr>
          <w:rFonts w:ascii="Times New Roman" w:hAnsi="Times New Roman" w:cs="Times New Roman"/>
          <w:b/>
          <w:bCs/>
          <w:i/>
          <w:iCs/>
          <w:sz w:val="24"/>
          <w:szCs w:val="24"/>
        </w:rPr>
        <w:t>Kontrolli i brendshëm financiar publik</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Ekziston një kornizë strategjike për KBFP. Masat e KBFP-së përfshihen në menaxhimin e financave publike dhe strategjitë e reformës së administratës publike, dhe përcaktohen më tej në dokumentin e politikave të KBFP-së 2021-2022. Ministria e Financave dhe Ekonomisë është përgjegjëse për monitorimin e zbatimit, por nevojiten përpjekje të forta për zbatimin e reformave të KBFP përtej Ministrisë.</w:t>
      </w:r>
    </w:p>
    <w:p w:rsidR="00547F07" w:rsidRPr="00547F07" w:rsidRDefault="00547F07" w:rsidP="00547F07">
      <w:pPr>
        <w:jc w:val="both"/>
        <w:rPr>
          <w:rFonts w:ascii="Times New Roman" w:hAnsi="Times New Roman" w:cs="Times New Roman"/>
          <w:b/>
          <w:bCs/>
          <w:i/>
          <w:iCs/>
          <w:sz w:val="24"/>
          <w:szCs w:val="24"/>
        </w:rPr>
      </w:pPr>
      <w:r w:rsidRPr="00547F07">
        <w:rPr>
          <w:rFonts w:ascii="Times New Roman" w:hAnsi="Times New Roman" w:cs="Times New Roman"/>
          <w:b/>
          <w:bCs/>
          <w:i/>
          <w:iCs/>
          <w:sz w:val="24"/>
          <w:szCs w:val="24"/>
        </w:rPr>
        <w:t xml:space="preserve">Përgjegjësia menaxheriale nuk është ende plotësisht e </w:t>
      </w:r>
      <w:r>
        <w:rPr>
          <w:rFonts w:ascii="Times New Roman" w:hAnsi="Times New Roman" w:cs="Times New Roman"/>
          <w:b/>
          <w:bCs/>
          <w:i/>
          <w:iCs/>
          <w:sz w:val="24"/>
          <w:szCs w:val="24"/>
        </w:rPr>
        <w:t>perfshire</w:t>
      </w:r>
      <w:r w:rsidRPr="00547F07">
        <w:rPr>
          <w:rFonts w:ascii="Times New Roman" w:hAnsi="Times New Roman" w:cs="Times New Roman"/>
          <w:b/>
          <w:bCs/>
          <w:i/>
          <w:iCs/>
          <w:sz w:val="24"/>
          <w:szCs w:val="24"/>
        </w:rPr>
        <w:t xml:space="preserve"> në legjislacion dhe praktikë administrative. Udhëzimet e miratuara për delegimin e përgjegjësive financiare duhet të zbatohen dhe të shoqërohen me delegim të përgjegjësive operacionale dhe administrative në mënyrë që të përmirësohet llogaridhënia e përgjithshme menaxheriale. Në praktikë, një numër shumë i vogël vendimesh administrative delegohen në nivele më të ulëta për shkak të sistemit të centralizuar të vendimmarrjes. Rishfaqja e detyrimeve të prapambetura është një tregues për atribuimin ende jo plotësisht efektiv të përgjegjësive dhe kontrolleve të angazhimit (Shih gjithashtu seksionin: Reforma e administratës publike).</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 xml:space="preserve">Legjislacioni për kontrollin e brendshëm është kryesisht në përputhje me standardet ndërkombëtare. Në dhjetor 2021 u miratua metodologjia për monitorimin e performancës së sistemeve të kontrollit të brendshëm të enteve publike dhe manuali i menaxhimit financiar dhe kontrollit. Në vitin 2021, më shumë institucione përcaktuan deklaratat e misionit, objektivat dhe rezultatet. Gjatë periudhës raportuese, Njësia Qendrore e Harmonizimit ka mbështetur pesë institucione në finalizimin e librave të proceseve të biznesit, zbatimin e udhëzimeve të delegimit dhe linjave raportuese dhe krijimin e regjistrave të rrezikut. </w:t>
      </w:r>
      <w:r w:rsidRPr="00547F07">
        <w:rPr>
          <w:rFonts w:ascii="Times New Roman" w:hAnsi="Times New Roman" w:cs="Times New Roman"/>
          <w:b/>
          <w:bCs/>
          <w:i/>
          <w:iCs/>
          <w:sz w:val="24"/>
          <w:szCs w:val="24"/>
        </w:rPr>
        <w:t>Menaxhimi i rrezikut është ende në një fazë të hershme në të gjitha nivelet dhe duhet të përfshihet më mirë në menaxhimin e proceseve financiare dhe operacionale.</w:t>
      </w:r>
      <w:r w:rsidRPr="00547F07">
        <w:rPr>
          <w:rFonts w:ascii="Times New Roman" w:hAnsi="Times New Roman" w:cs="Times New Roman"/>
          <w:bCs/>
          <w:iCs/>
          <w:sz w:val="24"/>
          <w:szCs w:val="24"/>
        </w:rPr>
        <w:t xml:space="preserve"> Funksioni i inspektimit buxhetor, i cili është i centralizuar në kuadër të Ministrisë së Financave dhe Ekonomisë, kryen aktivitete ex-post sipas kërkesës.</w:t>
      </w:r>
    </w:p>
    <w:p w:rsidR="00547F07" w:rsidRPr="00547F07" w:rsidRDefault="00547F07" w:rsidP="00547F07">
      <w:pPr>
        <w:jc w:val="both"/>
        <w:rPr>
          <w:rFonts w:ascii="Times New Roman" w:hAnsi="Times New Roman" w:cs="Times New Roman"/>
          <w:b/>
          <w:bCs/>
          <w:i/>
          <w:iCs/>
          <w:sz w:val="24"/>
          <w:szCs w:val="24"/>
        </w:rPr>
      </w:pPr>
      <w:r w:rsidRPr="00547F07">
        <w:rPr>
          <w:rFonts w:ascii="Times New Roman" w:hAnsi="Times New Roman" w:cs="Times New Roman"/>
          <w:bCs/>
          <w:iCs/>
          <w:sz w:val="24"/>
          <w:szCs w:val="24"/>
        </w:rPr>
        <w:t xml:space="preserve">Kuadri legjislativ për praktikën e auditimit të brendshëm është në përputhje me standardet ndërkombëtare. Në vitin 2021, numri i auditorëve të certifikuar në sektorin publik u rrit në 342, nga 318 në vitin 2020. Funksioni i auditimit të brendshëm ende nuk jep opinione auditimi për efektivitetin e sistemeve të kontrollit të brendshëm nëpër njësitë buxhetore. </w:t>
      </w:r>
      <w:r w:rsidRPr="00547F07">
        <w:rPr>
          <w:rFonts w:ascii="Times New Roman" w:hAnsi="Times New Roman" w:cs="Times New Roman"/>
          <w:b/>
          <w:bCs/>
          <w:i/>
          <w:iCs/>
          <w:sz w:val="24"/>
          <w:szCs w:val="24"/>
        </w:rPr>
        <w:t>Procedurat e kontrollit të cilësisë së auditimit të brendshëm ende duhet të jenë në përputhje me standardet dhe të bëhen plotësisht funksionale.</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 xml:space="preserve">Njësia Qendrore e Harmonizimit ofron udhëzime metodologjike dhe ngritjen e kapaciteteve dhe monitoron kontrollin e brendshëm dhe performancën e auditimit të brendshëm në sektorin publik në bazë të rishikimeve të cilësisë dhe raporteve të vetëvlerësimit nga institucionet. Në vitin 2021, Njësia Qendrore e Harmonizimit ka nxjerrë një opinion për përputhshmërinë e aktivitetit të </w:t>
      </w:r>
      <w:r w:rsidRPr="00547F07">
        <w:rPr>
          <w:rFonts w:ascii="Times New Roman" w:hAnsi="Times New Roman" w:cs="Times New Roman"/>
          <w:bCs/>
          <w:iCs/>
          <w:sz w:val="24"/>
          <w:szCs w:val="24"/>
        </w:rPr>
        <w:lastRenderedPageBreak/>
        <w:t>auditimit të brendshëm për 25 njësi të vlerësuara, ku vetëm 36% janë gjetur pjesërisht ose plotësisht në përputhje. Raporti vjetor i KBFP-së iu prezantua Këshillit të Ministrave dhe po diskutohet në Kuvend si pjesë e miratimit të buxhetit aktual të vitit 2021.</w:t>
      </w:r>
    </w:p>
    <w:p w:rsidR="00547F07" w:rsidRPr="00547F07" w:rsidRDefault="00547F07" w:rsidP="00547F07">
      <w:pPr>
        <w:jc w:val="both"/>
        <w:rPr>
          <w:rFonts w:ascii="Times New Roman" w:hAnsi="Times New Roman" w:cs="Times New Roman"/>
          <w:b/>
          <w:bCs/>
          <w:iCs/>
          <w:sz w:val="24"/>
          <w:szCs w:val="24"/>
        </w:rPr>
      </w:pPr>
      <w:r w:rsidRPr="00547F07">
        <w:rPr>
          <w:rFonts w:ascii="Times New Roman" w:hAnsi="Times New Roman" w:cs="Times New Roman"/>
          <w:b/>
          <w:bCs/>
          <w:iCs/>
          <w:sz w:val="24"/>
          <w:szCs w:val="24"/>
        </w:rPr>
        <w:t>Auditimi i jashtëm</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Në përputhje me standardet e Organizatës Ndërkombëtare të Institucioneve të Lartë të Auditimit, kuadri kushtetues dhe ligjor i Shqipërisë parashikon pavarësinë e Institucionit të Kontrollit Shtetëror. Kërkohen ndryshime ligjore për të forcuar qëllimin e mandatit të auditimit për të mbuluar të gjitha entet publike.</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 xml:space="preserve">Në përputhje me planin strategjik të zhvillimit 2018-2022, Institucioni i Kontrollit të Shtetit po zbaton veprime për përmirësimin e kapaciteteve të tij institucionale. </w:t>
      </w:r>
      <w:r w:rsidRPr="00547F07">
        <w:rPr>
          <w:rFonts w:ascii="Times New Roman" w:hAnsi="Times New Roman" w:cs="Times New Roman"/>
          <w:b/>
          <w:bCs/>
          <w:i/>
          <w:iCs/>
          <w:sz w:val="24"/>
          <w:szCs w:val="24"/>
        </w:rPr>
        <w:t>Ai duhet të përgatisë dhe miratojë një plan të ri zhvillimi për vitin 2023 dhe më tej</w:t>
      </w:r>
      <w:r w:rsidRPr="00547F07">
        <w:rPr>
          <w:rFonts w:ascii="Times New Roman" w:hAnsi="Times New Roman" w:cs="Times New Roman"/>
          <w:bCs/>
          <w:iCs/>
          <w:sz w:val="24"/>
          <w:szCs w:val="24"/>
        </w:rPr>
        <w:t>. Ai zbaton zhvillimin profesional vjetor për stafin e auditimit, duke u fokusuar në vitin 2021, ndër të tjera, në prokurimet publike, koncesionet/PPP-të dhe manualin e ri të auditimit të performancës.</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
          <w:bCs/>
          <w:i/>
          <w:iCs/>
          <w:sz w:val="24"/>
          <w:szCs w:val="24"/>
        </w:rPr>
        <w:t>Cilësia e punës së auditimit duhet të përmirësohet më tej për të qenë plotësisht në përputhje me standardet e Organizatës Ndërkombëtare të Institucioneve Supreme të Auditimit</w:t>
      </w:r>
      <w:r w:rsidRPr="00547F07">
        <w:rPr>
          <w:rFonts w:ascii="Times New Roman" w:hAnsi="Times New Roman" w:cs="Times New Roman"/>
          <w:bCs/>
          <w:iCs/>
          <w:sz w:val="24"/>
          <w:szCs w:val="24"/>
        </w:rPr>
        <w:t>. Në nëntor 2021, u miratua manuali i rishikuar i auditimit të performancës. Objektivat e auditimit të Institucionit të Kontrollit të Shtetit janë zhvendosur nga auditimet e përputhshmërisë dhe rregullsisë drejt auditimeve të performancës. Ai ndjek një qasje të auditimit të jashtëm të bazuar në rrezik.</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Ndikimi i punës së auditimit ka treguar progres. Kontrolli i Lartë i Shtetit Shqiptar vijon të përpilojë raporte vjetore për performancën e tyre, t'i publikojë ato në faqen e tij të internetit dhe t'i raportojë Kuvendit. Në vitin 2021, Kontrolli i Shtetit raportoi se 80% e rekomandimeve të pranuara janë në proces zbatimi dhe disa prej tyre janë zbatuar plotësisht. Pavarësisht shkallës së lartë, me më shumë se 90% të rekomandimeve të pranuara nga institucionet përkatëse, shkalla e rekomandimeve të zbatuara plotësisht duhet të përmirësohet më tej (në vitin 2021 shkalla ishte vetëm 50%).</w:t>
      </w:r>
    </w:p>
    <w:p w:rsidR="00547F07" w:rsidRPr="004B77A8" w:rsidRDefault="00547F07" w:rsidP="00547F07">
      <w:pPr>
        <w:jc w:val="both"/>
        <w:rPr>
          <w:rFonts w:ascii="Times New Roman" w:hAnsi="Times New Roman" w:cs="Times New Roman"/>
          <w:b/>
          <w:bCs/>
          <w:iCs/>
          <w:sz w:val="24"/>
          <w:szCs w:val="24"/>
        </w:rPr>
      </w:pPr>
      <w:r w:rsidRPr="004B77A8">
        <w:rPr>
          <w:rFonts w:ascii="Times New Roman" w:hAnsi="Times New Roman" w:cs="Times New Roman"/>
          <w:b/>
          <w:bCs/>
          <w:iCs/>
          <w:sz w:val="24"/>
          <w:szCs w:val="24"/>
        </w:rPr>
        <w:t>Mbrojtja e interesave financiare të BE-së</w:t>
      </w:r>
    </w:p>
    <w:p w:rsidR="00547F07" w:rsidRPr="004B77A8" w:rsidRDefault="00547F07" w:rsidP="00547F07">
      <w:pPr>
        <w:jc w:val="both"/>
        <w:rPr>
          <w:rFonts w:ascii="Times New Roman" w:hAnsi="Times New Roman" w:cs="Times New Roman"/>
          <w:b/>
          <w:bCs/>
          <w:i/>
          <w:iCs/>
          <w:sz w:val="24"/>
          <w:szCs w:val="24"/>
        </w:rPr>
      </w:pPr>
      <w:r w:rsidRPr="00547F07">
        <w:rPr>
          <w:rFonts w:ascii="Times New Roman" w:hAnsi="Times New Roman" w:cs="Times New Roman"/>
          <w:bCs/>
          <w:iCs/>
          <w:sz w:val="24"/>
          <w:szCs w:val="24"/>
        </w:rPr>
        <w:t>Shqipëria ka siguruar një nivel përafrimi me acquis në këtë zonë</w:t>
      </w:r>
      <w:r w:rsidRPr="004B77A8">
        <w:rPr>
          <w:rFonts w:ascii="Times New Roman" w:hAnsi="Times New Roman" w:cs="Times New Roman"/>
          <w:b/>
          <w:bCs/>
          <w:i/>
          <w:iCs/>
          <w:sz w:val="24"/>
          <w:szCs w:val="24"/>
        </w:rPr>
        <w:t>. Megjithatë, ajo ende duhet të harmonizojë plotësisht legjislacionin e saj me Direktivën e BE-së për luftën kundër mashtrimit ndaj interesave financiare të BE-së me anë të ligjit penal.</w:t>
      </w:r>
      <w:r w:rsidRPr="00547F07">
        <w:rPr>
          <w:rFonts w:ascii="Times New Roman" w:hAnsi="Times New Roman" w:cs="Times New Roman"/>
          <w:bCs/>
          <w:iCs/>
          <w:sz w:val="24"/>
          <w:szCs w:val="24"/>
        </w:rPr>
        <w:t xml:space="preserve"> Shërbimi kombëtar i koordinimit kundër mashtrimit, ka krijuar një rrjet që përfshin autoritete të tjera përkatëse si Struktura e Specializuar kundër Korrupsionit dhe Krimit të Organizuar dhe takohet rregullisht. Manuali i procedurave për parregullsitë u rishikua dhe u miratua në dhjetor 2021. Një strategji kombëtare kundër mashtrimit duhet ende të miratohet. Shqipëria bashkëpunon me Komisionin Evropian për hetime dhe në vitin 2021 ka raportuar pesë raste parregullsie dhe mashtrime të dyshuara. </w:t>
      </w:r>
      <w:r w:rsidRPr="004B77A8">
        <w:rPr>
          <w:rFonts w:ascii="Times New Roman" w:hAnsi="Times New Roman" w:cs="Times New Roman"/>
          <w:b/>
          <w:bCs/>
          <w:i/>
          <w:iCs/>
          <w:sz w:val="24"/>
          <w:szCs w:val="24"/>
        </w:rPr>
        <w:t>Megjithëse bashkëpunimi me shërbimin e koordinimit kundër mashtrimit për hetimet është përmirësuar, nevojiten akoma më shumë përpjekje për zhvillimin e një historie solide për raportimin e parregullsive dhe për bashkëpunimin në hetime, veçanërisht në lidhje me autoritetet e zbatimit të ligjit.</w:t>
      </w:r>
    </w:p>
    <w:p w:rsidR="00547F07" w:rsidRPr="004B77A8" w:rsidRDefault="00547F07" w:rsidP="00547F07">
      <w:pPr>
        <w:jc w:val="both"/>
        <w:rPr>
          <w:rFonts w:ascii="Times New Roman" w:hAnsi="Times New Roman" w:cs="Times New Roman"/>
          <w:b/>
          <w:bCs/>
          <w:i/>
          <w:iCs/>
          <w:sz w:val="24"/>
          <w:szCs w:val="24"/>
        </w:rPr>
      </w:pPr>
      <w:r w:rsidRPr="004B77A8">
        <w:rPr>
          <w:rFonts w:ascii="Times New Roman" w:hAnsi="Times New Roman" w:cs="Times New Roman"/>
          <w:b/>
          <w:bCs/>
          <w:i/>
          <w:iCs/>
          <w:sz w:val="24"/>
          <w:szCs w:val="24"/>
        </w:rPr>
        <w:lastRenderedPageBreak/>
        <w:t>Mbrojtja e euros nga falsifikimi</w:t>
      </w:r>
    </w:p>
    <w:p w:rsidR="00547F07" w:rsidRPr="00547F07" w:rsidRDefault="00547F07" w:rsidP="00547F07">
      <w:pPr>
        <w:jc w:val="both"/>
        <w:rPr>
          <w:rFonts w:ascii="Times New Roman" w:hAnsi="Times New Roman" w:cs="Times New Roman"/>
          <w:bCs/>
          <w:iCs/>
          <w:sz w:val="24"/>
          <w:szCs w:val="24"/>
        </w:rPr>
      </w:pPr>
      <w:r w:rsidRPr="00547F07">
        <w:rPr>
          <w:rFonts w:ascii="Times New Roman" w:hAnsi="Times New Roman" w:cs="Times New Roman"/>
          <w:bCs/>
          <w:iCs/>
          <w:sz w:val="24"/>
          <w:szCs w:val="24"/>
        </w:rPr>
        <w:t xml:space="preserve">Shqipëria u përafrua më tej me acquis në lidhje me përcaktimin e falsifikimit të kartëmonedhave dhe monedhave, si dhe procedurat për grumbullimin, ruajtjen dhe tërheqjen e tyre nga qarkullimi. Në gusht 2021, Banka e Shqipërisë miratoi rregullore për medaljet dhe tokenat e ngjashme me monedhat euro, si dhe për kriteret e riprodhimit të kartëmonedhave dhe monedhave. Analiza teknike kryhet nga qendra kombëtare e analizave të Bankës së Shqipërisë dhe Instituti i Policisë Shkencore. </w:t>
      </w:r>
      <w:r w:rsidRPr="004B77A8">
        <w:rPr>
          <w:rFonts w:ascii="Times New Roman" w:hAnsi="Times New Roman" w:cs="Times New Roman"/>
          <w:b/>
          <w:bCs/>
          <w:i/>
          <w:iCs/>
          <w:sz w:val="24"/>
          <w:szCs w:val="24"/>
        </w:rPr>
        <w:t>Duhet të vendoset bashkëpunimi formal ndërmjet Bankës së Shqipërisë, Policisë së Shtetit në Ministrinë e Brendshme dhe Prokurorisë së Përgjithshme</w:t>
      </w:r>
      <w:r w:rsidRPr="00547F07">
        <w:rPr>
          <w:rFonts w:ascii="Times New Roman" w:hAnsi="Times New Roman" w:cs="Times New Roman"/>
          <w:bCs/>
          <w:iCs/>
          <w:sz w:val="24"/>
          <w:szCs w:val="24"/>
        </w:rPr>
        <w:t>. Në vitin 2021, Shqipëria sekuestroi 569 monedha dhe kartëmonedha euro në total rreth 9 600 euro, që përfaqëson 38% të të gjitha monedhave të falsifikuara të sekuestruara në vend, krahasuar me 18% në 2020.</w:t>
      </w:r>
    </w:p>
    <w:sectPr w:rsidR="00547F07" w:rsidRPr="00547F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33" w:rsidRDefault="00E66733" w:rsidP="008F395D">
      <w:pPr>
        <w:spacing w:after="0" w:line="240" w:lineRule="auto"/>
      </w:pPr>
      <w:r>
        <w:separator/>
      </w:r>
    </w:p>
  </w:endnote>
  <w:endnote w:type="continuationSeparator" w:id="0">
    <w:p w:rsidR="00E66733" w:rsidRDefault="00E66733" w:rsidP="008F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325018"/>
      <w:docPartObj>
        <w:docPartGallery w:val="Page Numbers (Bottom of Page)"/>
        <w:docPartUnique/>
      </w:docPartObj>
    </w:sdtPr>
    <w:sdtEndPr>
      <w:rPr>
        <w:noProof/>
      </w:rPr>
    </w:sdtEndPr>
    <w:sdtContent>
      <w:p w:rsidR="00005C5E" w:rsidRDefault="00005C5E">
        <w:pPr>
          <w:pStyle w:val="Footer"/>
          <w:jc w:val="right"/>
        </w:pPr>
        <w:r>
          <w:fldChar w:fldCharType="begin"/>
        </w:r>
        <w:r>
          <w:instrText xml:space="preserve"> PAGE   \* MERGEFORMAT </w:instrText>
        </w:r>
        <w:r>
          <w:fldChar w:fldCharType="separate"/>
        </w:r>
        <w:r w:rsidR="00C37008">
          <w:rPr>
            <w:noProof/>
          </w:rPr>
          <w:t>2</w:t>
        </w:r>
        <w:r>
          <w:rPr>
            <w:noProof/>
          </w:rPr>
          <w:fldChar w:fldCharType="end"/>
        </w:r>
      </w:p>
    </w:sdtContent>
  </w:sdt>
  <w:p w:rsidR="00005C5E" w:rsidRDefault="00005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33" w:rsidRDefault="00E66733" w:rsidP="008F395D">
      <w:pPr>
        <w:spacing w:after="0" w:line="240" w:lineRule="auto"/>
      </w:pPr>
      <w:r>
        <w:separator/>
      </w:r>
    </w:p>
  </w:footnote>
  <w:footnote w:type="continuationSeparator" w:id="0">
    <w:p w:rsidR="00E66733" w:rsidRDefault="00E66733" w:rsidP="008F395D">
      <w:pPr>
        <w:spacing w:after="0" w:line="240" w:lineRule="auto"/>
      </w:pPr>
      <w:r>
        <w:continuationSeparator/>
      </w:r>
    </w:p>
  </w:footnote>
  <w:footnote w:id="1">
    <w:p w:rsidR="00005C5E" w:rsidRPr="003C6F08" w:rsidRDefault="00005C5E" w:rsidP="00E24640">
      <w:pPr>
        <w:pStyle w:val="FootnoteText1"/>
        <w:rPr>
          <w:rFonts w:ascii="Times New Roman" w:hAnsi="Times New Roman" w:cs="Times New Roman"/>
          <w:lang w:val="en-GB"/>
        </w:rPr>
      </w:pPr>
      <w:r>
        <w:rPr>
          <w:rStyle w:val="FootnoteReference"/>
        </w:rPr>
        <w:footnoteRef/>
      </w:r>
      <w:r>
        <w:t xml:space="preserve"> </w:t>
      </w:r>
      <w:r w:rsidRPr="003C6F08">
        <w:rPr>
          <w:rFonts w:ascii="Times New Roman" w:hAnsi="Times New Roman" w:cs="Times New Roman"/>
        </w:rPr>
        <w:t>Deklarata për të Ardhmen e Internetit | Formimi i së ardhmes dixhitale të Evropës (europa.eu)</w:t>
      </w:r>
    </w:p>
  </w:footnote>
  <w:footnote w:id="2">
    <w:p w:rsidR="00005C5E" w:rsidRPr="00F56ECE" w:rsidRDefault="00005C5E" w:rsidP="00E24640">
      <w:pPr>
        <w:pStyle w:val="FootnoteText1"/>
        <w:rPr>
          <w:lang w:val="en-GB"/>
        </w:rPr>
      </w:pPr>
      <w:r>
        <w:rPr>
          <w:rStyle w:val="FootnoteReference"/>
        </w:rPr>
        <w:footnoteRef/>
      </w:r>
      <w:r>
        <w:t xml:space="preserve"> </w:t>
      </w:r>
      <w:r w:rsidRPr="00AF25F6">
        <w:t>Plani i Veprimit Gjinor III – prioritet i veprimit të jashtëm të BE-së (europa.eu).</w:t>
      </w:r>
    </w:p>
  </w:footnote>
  <w:footnote w:id="3">
    <w:p w:rsidR="00005C5E" w:rsidRPr="00526892" w:rsidRDefault="00005C5E" w:rsidP="00E24640">
      <w:pPr>
        <w:pStyle w:val="FootnoteText1"/>
        <w:rPr>
          <w:rFonts w:ascii="Times New Roman" w:hAnsi="Times New Roman" w:cs="Times New Roman"/>
          <w:lang w:val="en-GB"/>
        </w:rPr>
      </w:pPr>
      <w:r>
        <w:rPr>
          <w:rStyle w:val="FootnoteReference"/>
        </w:rPr>
        <w:footnoteRef/>
      </w:r>
      <w:r>
        <w:t xml:space="preserve"> </w:t>
      </w:r>
      <w:r w:rsidRPr="00526892">
        <w:rPr>
          <w:rFonts w:ascii="Times New Roman" w:hAnsi="Times New Roman" w:cs="Times New Roman"/>
        </w:rPr>
        <w:t>Në përputhje me përdorimin në Kornizën Strategjike të Romëve të BE-së, 'romët' përdoret si një term ombrellë, pa mohuar specifikat e grupeve të ndryshme.</w:t>
      </w:r>
    </w:p>
  </w:footnote>
  <w:footnote w:id="4">
    <w:p w:rsidR="004C5618" w:rsidRDefault="004C5618" w:rsidP="004C5618">
      <w:pPr>
        <w:pStyle w:val="FootnoteText"/>
        <w:rPr>
          <w:rFonts w:ascii="Calibri" w:hAnsi="Calibri" w:cs="Calibri"/>
          <w:lang w:val="en-GB"/>
        </w:rPr>
      </w:pPr>
      <w:r>
        <w:rPr>
          <w:rStyle w:val="FootnoteReference"/>
          <w:lang w:val="sq-AL"/>
        </w:rPr>
        <w:t>[1]</w:t>
      </w:r>
      <w:r>
        <w:rPr>
          <w:lang w:val="sq-AL"/>
        </w:rPr>
        <w:t xml:space="preserve"> Shifrat e UNHCR-së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D7762"/>
    <w:multiLevelType w:val="hybridMultilevel"/>
    <w:tmpl w:val="13EEDF1C"/>
    <w:lvl w:ilvl="0" w:tplc="9C781E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1DB"/>
    <w:multiLevelType w:val="hybridMultilevel"/>
    <w:tmpl w:val="4A2ABC1C"/>
    <w:lvl w:ilvl="0" w:tplc="9C781E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1768A1"/>
    <w:multiLevelType w:val="hybridMultilevel"/>
    <w:tmpl w:val="77187964"/>
    <w:lvl w:ilvl="0" w:tplc="9C781EA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F3"/>
    <w:rsid w:val="00005C5E"/>
    <w:rsid w:val="00033519"/>
    <w:rsid w:val="00034D20"/>
    <w:rsid w:val="00041378"/>
    <w:rsid w:val="00060D01"/>
    <w:rsid w:val="00095E2E"/>
    <w:rsid w:val="000D044E"/>
    <w:rsid w:val="00106765"/>
    <w:rsid w:val="00111915"/>
    <w:rsid w:val="00111B49"/>
    <w:rsid w:val="001243A1"/>
    <w:rsid w:val="001679EE"/>
    <w:rsid w:val="00185492"/>
    <w:rsid w:val="00192AFE"/>
    <w:rsid w:val="001A4EA7"/>
    <w:rsid w:val="001C296A"/>
    <w:rsid w:val="001E2042"/>
    <w:rsid w:val="001E4906"/>
    <w:rsid w:val="00227EA9"/>
    <w:rsid w:val="00236574"/>
    <w:rsid w:val="00237C4B"/>
    <w:rsid w:val="0026302D"/>
    <w:rsid w:val="00283065"/>
    <w:rsid w:val="00283A33"/>
    <w:rsid w:val="00286F84"/>
    <w:rsid w:val="002A3AB4"/>
    <w:rsid w:val="002B447D"/>
    <w:rsid w:val="002B7B6D"/>
    <w:rsid w:val="002C14C6"/>
    <w:rsid w:val="002D12DA"/>
    <w:rsid w:val="003A3E1A"/>
    <w:rsid w:val="003C6800"/>
    <w:rsid w:val="003C7E2D"/>
    <w:rsid w:val="003D541E"/>
    <w:rsid w:val="00407955"/>
    <w:rsid w:val="00485F93"/>
    <w:rsid w:val="004B0837"/>
    <w:rsid w:val="004B77A8"/>
    <w:rsid w:val="004C2702"/>
    <w:rsid w:val="004C5618"/>
    <w:rsid w:val="004D154D"/>
    <w:rsid w:val="004F0194"/>
    <w:rsid w:val="005315D0"/>
    <w:rsid w:val="00547F07"/>
    <w:rsid w:val="00561960"/>
    <w:rsid w:val="00570E8F"/>
    <w:rsid w:val="00571F2F"/>
    <w:rsid w:val="0057330B"/>
    <w:rsid w:val="00583634"/>
    <w:rsid w:val="005B7EFE"/>
    <w:rsid w:val="00623C34"/>
    <w:rsid w:val="00664758"/>
    <w:rsid w:val="006A5495"/>
    <w:rsid w:val="006B2F15"/>
    <w:rsid w:val="006C58D1"/>
    <w:rsid w:val="006D19B9"/>
    <w:rsid w:val="00705077"/>
    <w:rsid w:val="0073510F"/>
    <w:rsid w:val="00763C53"/>
    <w:rsid w:val="00787B6C"/>
    <w:rsid w:val="007922E5"/>
    <w:rsid w:val="007C0127"/>
    <w:rsid w:val="007C3576"/>
    <w:rsid w:val="007D0EA3"/>
    <w:rsid w:val="007F4584"/>
    <w:rsid w:val="00800F64"/>
    <w:rsid w:val="00802ADF"/>
    <w:rsid w:val="0082356E"/>
    <w:rsid w:val="00826D5D"/>
    <w:rsid w:val="00842E57"/>
    <w:rsid w:val="008553F3"/>
    <w:rsid w:val="008641B4"/>
    <w:rsid w:val="00873D36"/>
    <w:rsid w:val="0089038A"/>
    <w:rsid w:val="008E3B58"/>
    <w:rsid w:val="008F395D"/>
    <w:rsid w:val="009148C0"/>
    <w:rsid w:val="00972E2B"/>
    <w:rsid w:val="00983283"/>
    <w:rsid w:val="009B0037"/>
    <w:rsid w:val="009B3B88"/>
    <w:rsid w:val="009E21C2"/>
    <w:rsid w:val="009E35C0"/>
    <w:rsid w:val="009E4A47"/>
    <w:rsid w:val="00A22C5A"/>
    <w:rsid w:val="00A55AD9"/>
    <w:rsid w:val="00A66644"/>
    <w:rsid w:val="00A67F9A"/>
    <w:rsid w:val="00A7327B"/>
    <w:rsid w:val="00A85F33"/>
    <w:rsid w:val="00AA56C1"/>
    <w:rsid w:val="00AC71C8"/>
    <w:rsid w:val="00AE0C0D"/>
    <w:rsid w:val="00AE4B3A"/>
    <w:rsid w:val="00AE6A0F"/>
    <w:rsid w:val="00B12060"/>
    <w:rsid w:val="00B26B9A"/>
    <w:rsid w:val="00B36097"/>
    <w:rsid w:val="00B7480E"/>
    <w:rsid w:val="00B7717B"/>
    <w:rsid w:val="00BE0935"/>
    <w:rsid w:val="00C03341"/>
    <w:rsid w:val="00C144D3"/>
    <w:rsid w:val="00C37008"/>
    <w:rsid w:val="00C3792F"/>
    <w:rsid w:val="00C50F77"/>
    <w:rsid w:val="00C82767"/>
    <w:rsid w:val="00CB5623"/>
    <w:rsid w:val="00CC6DE0"/>
    <w:rsid w:val="00D01F89"/>
    <w:rsid w:val="00D056C0"/>
    <w:rsid w:val="00D36022"/>
    <w:rsid w:val="00D402F1"/>
    <w:rsid w:val="00D5123A"/>
    <w:rsid w:val="00D64AB6"/>
    <w:rsid w:val="00D85A6B"/>
    <w:rsid w:val="00DC427D"/>
    <w:rsid w:val="00DC6C6B"/>
    <w:rsid w:val="00E01537"/>
    <w:rsid w:val="00E07086"/>
    <w:rsid w:val="00E24640"/>
    <w:rsid w:val="00E31BC3"/>
    <w:rsid w:val="00E52121"/>
    <w:rsid w:val="00E66733"/>
    <w:rsid w:val="00E87455"/>
    <w:rsid w:val="00EB45C2"/>
    <w:rsid w:val="00EB668E"/>
    <w:rsid w:val="00F042FE"/>
    <w:rsid w:val="00F21F24"/>
    <w:rsid w:val="00F30A91"/>
    <w:rsid w:val="00F3538C"/>
    <w:rsid w:val="00F4283F"/>
    <w:rsid w:val="00F45099"/>
    <w:rsid w:val="00F52F5E"/>
    <w:rsid w:val="00F6401B"/>
    <w:rsid w:val="00FD0EB8"/>
    <w:rsid w:val="00FD32F1"/>
    <w:rsid w:val="00FE4B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1D435-8507-4681-8ACF-256A271A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1,Bullet1,List Paragraph (numbered (a)),Normal 1,List Paragraph 1,Bullets,NumberedParas,Table of contents numbered,List Paragraph in table,Lijstalinea,Bullet List Paragraph,Heading 2_sj,WB Para,Dot pt,N,Nad"/>
    <w:basedOn w:val="Normal"/>
    <w:link w:val="ListParagraphChar"/>
    <w:uiPriority w:val="34"/>
    <w:qFormat/>
    <w:rsid w:val="005B7EFE"/>
    <w:pPr>
      <w:ind w:left="720"/>
      <w:contextualSpacing/>
    </w:pPr>
  </w:style>
  <w:style w:type="paragraph" w:styleId="Header">
    <w:name w:val="header"/>
    <w:basedOn w:val="Normal"/>
    <w:link w:val="HeaderChar"/>
    <w:uiPriority w:val="99"/>
    <w:unhideWhenUsed/>
    <w:rsid w:val="008F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95D"/>
  </w:style>
  <w:style w:type="paragraph" w:styleId="Footer">
    <w:name w:val="footer"/>
    <w:basedOn w:val="Normal"/>
    <w:link w:val="FooterChar"/>
    <w:uiPriority w:val="99"/>
    <w:unhideWhenUsed/>
    <w:rsid w:val="008F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95D"/>
  </w:style>
  <w:style w:type="character" w:customStyle="1" w:styleId="ListParagraphChar">
    <w:name w:val="List Paragraph Char"/>
    <w:aliases w:val="Akapit z listą BS Char,List Paragraph1 Char,Bullet1 Char,List Paragraph (numbered (a)) Char,Normal 1 Char,List Paragraph 1 Char,Bullets Char,NumberedParas Char,Table of contents numbered Char,List Paragraph in table Char,WB Para Char"/>
    <w:link w:val="ListParagraph"/>
    <w:uiPriority w:val="34"/>
    <w:qFormat/>
    <w:rsid w:val="008F395D"/>
  </w:style>
  <w:style w:type="paragraph" w:styleId="NoSpacing">
    <w:name w:val="No Spacing"/>
    <w:uiPriority w:val="1"/>
    <w:qFormat/>
    <w:rsid w:val="00E24640"/>
    <w:pPr>
      <w:spacing w:after="0" w:line="240" w:lineRule="auto"/>
    </w:pPr>
  </w:style>
  <w:style w:type="paragraph" w:customStyle="1" w:styleId="FootnoteText1">
    <w:name w:val="Footnote Text1"/>
    <w:basedOn w:val="Normal"/>
    <w:next w:val="FootnoteText"/>
    <w:link w:val="FootnoteTextChar"/>
    <w:uiPriority w:val="99"/>
    <w:semiHidden/>
    <w:unhideWhenUsed/>
    <w:rsid w:val="00E2464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E24640"/>
    <w:rPr>
      <w:sz w:val="20"/>
      <w:szCs w:val="20"/>
    </w:rPr>
  </w:style>
  <w:style w:type="character" w:styleId="FootnoteReference">
    <w:name w:val="footnote reference"/>
    <w:basedOn w:val="DefaultParagraphFont"/>
    <w:uiPriority w:val="99"/>
    <w:semiHidden/>
    <w:unhideWhenUsed/>
    <w:rsid w:val="00E24640"/>
    <w:rPr>
      <w:vertAlign w:val="superscript"/>
    </w:rPr>
  </w:style>
  <w:style w:type="paragraph" w:styleId="FootnoteText">
    <w:name w:val="footnote text"/>
    <w:basedOn w:val="Normal"/>
    <w:link w:val="FootnoteTextChar1"/>
    <w:uiPriority w:val="99"/>
    <w:semiHidden/>
    <w:unhideWhenUsed/>
    <w:rsid w:val="00E2464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246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91">
      <w:bodyDiv w:val="1"/>
      <w:marLeft w:val="0"/>
      <w:marRight w:val="0"/>
      <w:marTop w:val="0"/>
      <w:marBottom w:val="0"/>
      <w:divBdr>
        <w:top w:val="none" w:sz="0" w:space="0" w:color="auto"/>
        <w:left w:val="none" w:sz="0" w:space="0" w:color="auto"/>
        <w:bottom w:val="none" w:sz="0" w:space="0" w:color="auto"/>
        <w:right w:val="none" w:sz="0" w:space="0" w:color="auto"/>
      </w:divBdr>
    </w:div>
    <w:div w:id="37318870">
      <w:bodyDiv w:val="1"/>
      <w:marLeft w:val="0"/>
      <w:marRight w:val="0"/>
      <w:marTop w:val="0"/>
      <w:marBottom w:val="0"/>
      <w:divBdr>
        <w:top w:val="none" w:sz="0" w:space="0" w:color="auto"/>
        <w:left w:val="none" w:sz="0" w:space="0" w:color="auto"/>
        <w:bottom w:val="none" w:sz="0" w:space="0" w:color="auto"/>
        <w:right w:val="none" w:sz="0" w:space="0" w:color="auto"/>
      </w:divBdr>
    </w:div>
    <w:div w:id="79445534">
      <w:bodyDiv w:val="1"/>
      <w:marLeft w:val="0"/>
      <w:marRight w:val="0"/>
      <w:marTop w:val="0"/>
      <w:marBottom w:val="0"/>
      <w:divBdr>
        <w:top w:val="none" w:sz="0" w:space="0" w:color="auto"/>
        <w:left w:val="none" w:sz="0" w:space="0" w:color="auto"/>
        <w:bottom w:val="none" w:sz="0" w:space="0" w:color="auto"/>
        <w:right w:val="none" w:sz="0" w:space="0" w:color="auto"/>
      </w:divBdr>
    </w:div>
    <w:div w:id="128019966">
      <w:bodyDiv w:val="1"/>
      <w:marLeft w:val="0"/>
      <w:marRight w:val="0"/>
      <w:marTop w:val="0"/>
      <w:marBottom w:val="0"/>
      <w:divBdr>
        <w:top w:val="none" w:sz="0" w:space="0" w:color="auto"/>
        <w:left w:val="none" w:sz="0" w:space="0" w:color="auto"/>
        <w:bottom w:val="none" w:sz="0" w:space="0" w:color="auto"/>
        <w:right w:val="none" w:sz="0" w:space="0" w:color="auto"/>
      </w:divBdr>
    </w:div>
    <w:div w:id="359355552">
      <w:bodyDiv w:val="1"/>
      <w:marLeft w:val="0"/>
      <w:marRight w:val="0"/>
      <w:marTop w:val="0"/>
      <w:marBottom w:val="0"/>
      <w:divBdr>
        <w:top w:val="none" w:sz="0" w:space="0" w:color="auto"/>
        <w:left w:val="none" w:sz="0" w:space="0" w:color="auto"/>
        <w:bottom w:val="none" w:sz="0" w:space="0" w:color="auto"/>
        <w:right w:val="none" w:sz="0" w:space="0" w:color="auto"/>
      </w:divBdr>
    </w:div>
    <w:div w:id="513694327">
      <w:bodyDiv w:val="1"/>
      <w:marLeft w:val="0"/>
      <w:marRight w:val="0"/>
      <w:marTop w:val="0"/>
      <w:marBottom w:val="0"/>
      <w:divBdr>
        <w:top w:val="none" w:sz="0" w:space="0" w:color="auto"/>
        <w:left w:val="none" w:sz="0" w:space="0" w:color="auto"/>
        <w:bottom w:val="none" w:sz="0" w:space="0" w:color="auto"/>
        <w:right w:val="none" w:sz="0" w:space="0" w:color="auto"/>
      </w:divBdr>
    </w:div>
    <w:div w:id="518204981">
      <w:bodyDiv w:val="1"/>
      <w:marLeft w:val="0"/>
      <w:marRight w:val="0"/>
      <w:marTop w:val="0"/>
      <w:marBottom w:val="0"/>
      <w:divBdr>
        <w:top w:val="none" w:sz="0" w:space="0" w:color="auto"/>
        <w:left w:val="none" w:sz="0" w:space="0" w:color="auto"/>
        <w:bottom w:val="none" w:sz="0" w:space="0" w:color="auto"/>
        <w:right w:val="none" w:sz="0" w:space="0" w:color="auto"/>
      </w:divBdr>
    </w:div>
    <w:div w:id="592321586">
      <w:bodyDiv w:val="1"/>
      <w:marLeft w:val="0"/>
      <w:marRight w:val="0"/>
      <w:marTop w:val="0"/>
      <w:marBottom w:val="0"/>
      <w:divBdr>
        <w:top w:val="none" w:sz="0" w:space="0" w:color="auto"/>
        <w:left w:val="none" w:sz="0" w:space="0" w:color="auto"/>
        <w:bottom w:val="none" w:sz="0" w:space="0" w:color="auto"/>
        <w:right w:val="none" w:sz="0" w:space="0" w:color="auto"/>
      </w:divBdr>
    </w:div>
    <w:div w:id="617178660">
      <w:bodyDiv w:val="1"/>
      <w:marLeft w:val="0"/>
      <w:marRight w:val="0"/>
      <w:marTop w:val="0"/>
      <w:marBottom w:val="0"/>
      <w:divBdr>
        <w:top w:val="none" w:sz="0" w:space="0" w:color="auto"/>
        <w:left w:val="none" w:sz="0" w:space="0" w:color="auto"/>
        <w:bottom w:val="none" w:sz="0" w:space="0" w:color="auto"/>
        <w:right w:val="none" w:sz="0" w:space="0" w:color="auto"/>
      </w:divBdr>
    </w:div>
    <w:div w:id="650406993">
      <w:bodyDiv w:val="1"/>
      <w:marLeft w:val="0"/>
      <w:marRight w:val="0"/>
      <w:marTop w:val="0"/>
      <w:marBottom w:val="0"/>
      <w:divBdr>
        <w:top w:val="none" w:sz="0" w:space="0" w:color="auto"/>
        <w:left w:val="none" w:sz="0" w:space="0" w:color="auto"/>
        <w:bottom w:val="none" w:sz="0" w:space="0" w:color="auto"/>
        <w:right w:val="none" w:sz="0" w:space="0" w:color="auto"/>
      </w:divBdr>
    </w:div>
    <w:div w:id="677345642">
      <w:bodyDiv w:val="1"/>
      <w:marLeft w:val="0"/>
      <w:marRight w:val="0"/>
      <w:marTop w:val="0"/>
      <w:marBottom w:val="0"/>
      <w:divBdr>
        <w:top w:val="none" w:sz="0" w:space="0" w:color="auto"/>
        <w:left w:val="none" w:sz="0" w:space="0" w:color="auto"/>
        <w:bottom w:val="none" w:sz="0" w:space="0" w:color="auto"/>
        <w:right w:val="none" w:sz="0" w:space="0" w:color="auto"/>
      </w:divBdr>
    </w:div>
    <w:div w:id="720716002">
      <w:bodyDiv w:val="1"/>
      <w:marLeft w:val="0"/>
      <w:marRight w:val="0"/>
      <w:marTop w:val="0"/>
      <w:marBottom w:val="0"/>
      <w:divBdr>
        <w:top w:val="none" w:sz="0" w:space="0" w:color="auto"/>
        <w:left w:val="none" w:sz="0" w:space="0" w:color="auto"/>
        <w:bottom w:val="none" w:sz="0" w:space="0" w:color="auto"/>
        <w:right w:val="none" w:sz="0" w:space="0" w:color="auto"/>
      </w:divBdr>
    </w:div>
    <w:div w:id="841622115">
      <w:bodyDiv w:val="1"/>
      <w:marLeft w:val="0"/>
      <w:marRight w:val="0"/>
      <w:marTop w:val="0"/>
      <w:marBottom w:val="0"/>
      <w:divBdr>
        <w:top w:val="none" w:sz="0" w:space="0" w:color="auto"/>
        <w:left w:val="none" w:sz="0" w:space="0" w:color="auto"/>
        <w:bottom w:val="none" w:sz="0" w:space="0" w:color="auto"/>
        <w:right w:val="none" w:sz="0" w:space="0" w:color="auto"/>
      </w:divBdr>
    </w:div>
    <w:div w:id="923563954">
      <w:bodyDiv w:val="1"/>
      <w:marLeft w:val="0"/>
      <w:marRight w:val="0"/>
      <w:marTop w:val="0"/>
      <w:marBottom w:val="0"/>
      <w:divBdr>
        <w:top w:val="none" w:sz="0" w:space="0" w:color="auto"/>
        <w:left w:val="none" w:sz="0" w:space="0" w:color="auto"/>
        <w:bottom w:val="none" w:sz="0" w:space="0" w:color="auto"/>
        <w:right w:val="none" w:sz="0" w:space="0" w:color="auto"/>
      </w:divBdr>
    </w:div>
    <w:div w:id="1102728179">
      <w:bodyDiv w:val="1"/>
      <w:marLeft w:val="0"/>
      <w:marRight w:val="0"/>
      <w:marTop w:val="0"/>
      <w:marBottom w:val="0"/>
      <w:divBdr>
        <w:top w:val="none" w:sz="0" w:space="0" w:color="auto"/>
        <w:left w:val="none" w:sz="0" w:space="0" w:color="auto"/>
        <w:bottom w:val="none" w:sz="0" w:space="0" w:color="auto"/>
        <w:right w:val="none" w:sz="0" w:space="0" w:color="auto"/>
      </w:divBdr>
    </w:div>
    <w:div w:id="1275601299">
      <w:bodyDiv w:val="1"/>
      <w:marLeft w:val="0"/>
      <w:marRight w:val="0"/>
      <w:marTop w:val="0"/>
      <w:marBottom w:val="0"/>
      <w:divBdr>
        <w:top w:val="none" w:sz="0" w:space="0" w:color="auto"/>
        <w:left w:val="none" w:sz="0" w:space="0" w:color="auto"/>
        <w:bottom w:val="none" w:sz="0" w:space="0" w:color="auto"/>
        <w:right w:val="none" w:sz="0" w:space="0" w:color="auto"/>
      </w:divBdr>
    </w:div>
    <w:div w:id="1341590744">
      <w:bodyDiv w:val="1"/>
      <w:marLeft w:val="0"/>
      <w:marRight w:val="0"/>
      <w:marTop w:val="0"/>
      <w:marBottom w:val="0"/>
      <w:divBdr>
        <w:top w:val="none" w:sz="0" w:space="0" w:color="auto"/>
        <w:left w:val="none" w:sz="0" w:space="0" w:color="auto"/>
        <w:bottom w:val="none" w:sz="0" w:space="0" w:color="auto"/>
        <w:right w:val="none" w:sz="0" w:space="0" w:color="auto"/>
      </w:divBdr>
    </w:div>
    <w:div w:id="1402950944">
      <w:bodyDiv w:val="1"/>
      <w:marLeft w:val="0"/>
      <w:marRight w:val="0"/>
      <w:marTop w:val="0"/>
      <w:marBottom w:val="0"/>
      <w:divBdr>
        <w:top w:val="none" w:sz="0" w:space="0" w:color="auto"/>
        <w:left w:val="none" w:sz="0" w:space="0" w:color="auto"/>
        <w:bottom w:val="none" w:sz="0" w:space="0" w:color="auto"/>
        <w:right w:val="none" w:sz="0" w:space="0" w:color="auto"/>
      </w:divBdr>
    </w:div>
    <w:div w:id="1486817416">
      <w:bodyDiv w:val="1"/>
      <w:marLeft w:val="0"/>
      <w:marRight w:val="0"/>
      <w:marTop w:val="0"/>
      <w:marBottom w:val="0"/>
      <w:divBdr>
        <w:top w:val="none" w:sz="0" w:space="0" w:color="auto"/>
        <w:left w:val="none" w:sz="0" w:space="0" w:color="auto"/>
        <w:bottom w:val="none" w:sz="0" w:space="0" w:color="auto"/>
        <w:right w:val="none" w:sz="0" w:space="0" w:color="auto"/>
      </w:divBdr>
    </w:div>
    <w:div w:id="1573194680">
      <w:bodyDiv w:val="1"/>
      <w:marLeft w:val="0"/>
      <w:marRight w:val="0"/>
      <w:marTop w:val="0"/>
      <w:marBottom w:val="0"/>
      <w:divBdr>
        <w:top w:val="none" w:sz="0" w:space="0" w:color="auto"/>
        <w:left w:val="none" w:sz="0" w:space="0" w:color="auto"/>
        <w:bottom w:val="none" w:sz="0" w:space="0" w:color="auto"/>
        <w:right w:val="none" w:sz="0" w:space="0" w:color="auto"/>
      </w:divBdr>
    </w:div>
    <w:div w:id="1574706778">
      <w:bodyDiv w:val="1"/>
      <w:marLeft w:val="0"/>
      <w:marRight w:val="0"/>
      <w:marTop w:val="0"/>
      <w:marBottom w:val="0"/>
      <w:divBdr>
        <w:top w:val="none" w:sz="0" w:space="0" w:color="auto"/>
        <w:left w:val="none" w:sz="0" w:space="0" w:color="auto"/>
        <w:bottom w:val="none" w:sz="0" w:space="0" w:color="auto"/>
        <w:right w:val="none" w:sz="0" w:space="0" w:color="auto"/>
      </w:divBdr>
    </w:div>
    <w:div w:id="1697927475">
      <w:bodyDiv w:val="1"/>
      <w:marLeft w:val="0"/>
      <w:marRight w:val="0"/>
      <w:marTop w:val="0"/>
      <w:marBottom w:val="0"/>
      <w:divBdr>
        <w:top w:val="none" w:sz="0" w:space="0" w:color="auto"/>
        <w:left w:val="none" w:sz="0" w:space="0" w:color="auto"/>
        <w:bottom w:val="none" w:sz="0" w:space="0" w:color="auto"/>
        <w:right w:val="none" w:sz="0" w:space="0" w:color="auto"/>
      </w:divBdr>
    </w:div>
    <w:div w:id="1799951300">
      <w:bodyDiv w:val="1"/>
      <w:marLeft w:val="0"/>
      <w:marRight w:val="0"/>
      <w:marTop w:val="0"/>
      <w:marBottom w:val="0"/>
      <w:divBdr>
        <w:top w:val="none" w:sz="0" w:space="0" w:color="auto"/>
        <w:left w:val="none" w:sz="0" w:space="0" w:color="auto"/>
        <w:bottom w:val="none" w:sz="0" w:space="0" w:color="auto"/>
        <w:right w:val="none" w:sz="0" w:space="0" w:color="auto"/>
      </w:divBdr>
    </w:div>
    <w:div w:id="1810240827">
      <w:bodyDiv w:val="1"/>
      <w:marLeft w:val="0"/>
      <w:marRight w:val="0"/>
      <w:marTop w:val="0"/>
      <w:marBottom w:val="0"/>
      <w:divBdr>
        <w:top w:val="none" w:sz="0" w:space="0" w:color="auto"/>
        <w:left w:val="none" w:sz="0" w:space="0" w:color="auto"/>
        <w:bottom w:val="none" w:sz="0" w:space="0" w:color="auto"/>
        <w:right w:val="none" w:sz="0" w:space="0" w:color="auto"/>
      </w:divBdr>
    </w:div>
    <w:div w:id="1869021564">
      <w:bodyDiv w:val="1"/>
      <w:marLeft w:val="0"/>
      <w:marRight w:val="0"/>
      <w:marTop w:val="0"/>
      <w:marBottom w:val="0"/>
      <w:divBdr>
        <w:top w:val="none" w:sz="0" w:space="0" w:color="auto"/>
        <w:left w:val="none" w:sz="0" w:space="0" w:color="auto"/>
        <w:bottom w:val="none" w:sz="0" w:space="0" w:color="auto"/>
        <w:right w:val="none" w:sz="0" w:space="0" w:color="auto"/>
      </w:divBdr>
    </w:div>
    <w:div w:id="1899322164">
      <w:bodyDiv w:val="1"/>
      <w:marLeft w:val="0"/>
      <w:marRight w:val="0"/>
      <w:marTop w:val="0"/>
      <w:marBottom w:val="0"/>
      <w:divBdr>
        <w:top w:val="none" w:sz="0" w:space="0" w:color="auto"/>
        <w:left w:val="none" w:sz="0" w:space="0" w:color="auto"/>
        <w:bottom w:val="none" w:sz="0" w:space="0" w:color="auto"/>
        <w:right w:val="none" w:sz="0" w:space="0" w:color="auto"/>
      </w:divBdr>
    </w:div>
    <w:div w:id="2058968560">
      <w:bodyDiv w:val="1"/>
      <w:marLeft w:val="0"/>
      <w:marRight w:val="0"/>
      <w:marTop w:val="0"/>
      <w:marBottom w:val="0"/>
      <w:divBdr>
        <w:top w:val="none" w:sz="0" w:space="0" w:color="auto"/>
        <w:left w:val="none" w:sz="0" w:space="0" w:color="auto"/>
        <w:bottom w:val="none" w:sz="0" w:space="0" w:color="auto"/>
        <w:right w:val="none" w:sz="0" w:space="0" w:color="auto"/>
      </w:divBdr>
    </w:div>
    <w:div w:id="2107581262">
      <w:bodyDiv w:val="1"/>
      <w:marLeft w:val="0"/>
      <w:marRight w:val="0"/>
      <w:marTop w:val="0"/>
      <w:marBottom w:val="0"/>
      <w:divBdr>
        <w:top w:val="none" w:sz="0" w:space="0" w:color="auto"/>
        <w:left w:val="none" w:sz="0" w:space="0" w:color="auto"/>
        <w:bottom w:val="none" w:sz="0" w:space="0" w:color="auto"/>
        <w:right w:val="none" w:sz="0" w:space="0" w:color="auto"/>
      </w:divBdr>
    </w:div>
    <w:div w:id="21181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35107</Words>
  <Characters>200115</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Milo</dc:creator>
  <cp:keywords/>
  <dc:description/>
  <cp:lastModifiedBy>Alda Milo</cp:lastModifiedBy>
  <cp:revision>2</cp:revision>
  <dcterms:created xsi:type="dcterms:W3CDTF">2022-10-14T07:11:00Z</dcterms:created>
  <dcterms:modified xsi:type="dcterms:W3CDTF">2022-10-14T07:11:00Z</dcterms:modified>
</cp:coreProperties>
</file>