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69E" w:rsidRDefault="0078669E" w:rsidP="0078669E">
      <w:pPr>
        <w:tabs>
          <w:tab w:val="left" w:pos="3840"/>
        </w:tabs>
      </w:pPr>
      <w:r>
        <w:rPr>
          <w:rFonts w:ascii="Arial" w:hAnsi="Arial" w:cs="Arial"/>
          <w:noProof/>
          <w:sz w:val="20"/>
          <w:szCs w:val="20"/>
          <w:lang w:val="sq-AL" w:eastAsia="sq-AL"/>
        </w:rPr>
        <w:t>_______________________________________</w:t>
      </w:r>
      <w:r w:rsidRPr="00C97508">
        <w:rPr>
          <w:rFonts w:ascii="Arial" w:hAnsi="Arial" w:cs="Arial"/>
          <w:noProof/>
          <w:sz w:val="20"/>
          <w:szCs w:val="20"/>
          <w:lang w:val="sq-AL" w:eastAsia="sq-AL"/>
        </w:rPr>
        <w:drawing>
          <wp:inline distT="0" distB="0" distL="0" distR="0">
            <wp:extent cx="428625" cy="542925"/>
            <wp:effectExtent l="0" t="0" r="9525" b="9525"/>
            <wp:docPr id="3" name="Picture 3"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428625" cy="542925"/>
                    </a:xfrm>
                    <a:prstGeom prst="rect">
                      <a:avLst/>
                    </a:prstGeom>
                    <a:noFill/>
                    <a:ln>
                      <a:noFill/>
                    </a:ln>
                  </pic:spPr>
                </pic:pic>
              </a:graphicData>
            </a:graphic>
          </wp:inline>
        </w:drawing>
      </w:r>
      <w:r>
        <w:rPr>
          <w:rFonts w:ascii="Arial" w:hAnsi="Arial" w:cs="Arial"/>
          <w:noProof/>
          <w:sz w:val="20"/>
          <w:szCs w:val="20"/>
          <w:lang w:val="sq-AL" w:eastAsia="sq-AL"/>
        </w:rPr>
        <w:t>___________________________________</w:t>
      </w:r>
    </w:p>
    <w:p w:rsidR="009A3958" w:rsidRPr="0078669E" w:rsidRDefault="0078669E" w:rsidP="0078669E">
      <w:pPr>
        <w:tabs>
          <w:tab w:val="left" w:pos="3840"/>
        </w:tabs>
        <w:rPr>
          <w:b/>
        </w:rPr>
      </w:pPr>
      <w:r w:rsidRPr="0078669E">
        <w:rPr>
          <w:b/>
        </w:rPr>
        <w:t xml:space="preserve">                                                               </w:t>
      </w:r>
      <w:r w:rsidRPr="0078669E">
        <w:rPr>
          <w:b/>
          <w:sz w:val="20"/>
          <w:szCs w:val="20"/>
        </w:rPr>
        <w:t xml:space="preserve"> R E P U B L I K A  E  S H Q I P Ë R I S Ë</w:t>
      </w:r>
    </w:p>
    <w:p w:rsidR="000E6B9E" w:rsidRPr="00606686" w:rsidRDefault="00AD7639" w:rsidP="00606686">
      <w:pPr>
        <w:tabs>
          <w:tab w:val="left" w:pos="2730"/>
        </w:tabs>
        <w:spacing w:before="100" w:beforeAutospacing="1" w:after="0"/>
        <w:rPr>
          <w:rFonts w:ascii="Times New Roman" w:hAnsi="Times New Roman" w:cs="Times New Roman"/>
          <w:b/>
          <w:sz w:val="24"/>
          <w:szCs w:val="24"/>
          <w:lang w:val="sq-AL"/>
        </w:rPr>
      </w:pPr>
      <w:r>
        <w:rPr>
          <w:rFonts w:ascii="Times New Roman" w:hAnsi="Times New Roman" w:cs="Times New Roman"/>
          <w:b/>
          <w:sz w:val="24"/>
          <w:szCs w:val="24"/>
          <w:lang w:val="sq-AL"/>
        </w:rPr>
        <w:t xml:space="preserve">                                                         </w:t>
      </w:r>
      <w:r w:rsidR="00606686">
        <w:rPr>
          <w:rFonts w:ascii="Times New Roman" w:hAnsi="Times New Roman" w:cs="Times New Roman"/>
          <w:b/>
          <w:sz w:val="24"/>
          <w:szCs w:val="24"/>
          <w:lang w:val="sq-AL"/>
        </w:rPr>
        <w:t xml:space="preserve">         </w:t>
      </w:r>
      <w:r>
        <w:rPr>
          <w:rFonts w:ascii="Times New Roman" w:hAnsi="Times New Roman" w:cs="Times New Roman"/>
          <w:b/>
          <w:sz w:val="24"/>
          <w:szCs w:val="24"/>
          <w:lang w:val="sq-AL"/>
        </w:rPr>
        <w:t xml:space="preserve"> </w:t>
      </w:r>
      <w:r w:rsidR="00C40E27">
        <w:rPr>
          <w:rFonts w:ascii="Times New Roman" w:hAnsi="Times New Roman" w:cs="Times New Roman"/>
          <w:b/>
          <w:sz w:val="24"/>
          <w:szCs w:val="24"/>
          <w:lang w:val="sq-AL"/>
        </w:rPr>
        <w:t xml:space="preserve">KUVENDI </w:t>
      </w:r>
      <w:r w:rsidR="00196944">
        <w:rPr>
          <w:rFonts w:ascii="Times New Roman" w:hAnsi="Times New Roman" w:cs="Times New Roman"/>
          <w:b/>
          <w:caps/>
          <w:lang w:val="sq-AL"/>
        </w:rPr>
        <w:t xml:space="preserve">  </w:t>
      </w:r>
    </w:p>
    <w:p w:rsidR="00A770F3" w:rsidRPr="000367FD" w:rsidRDefault="000367FD" w:rsidP="000367FD">
      <w:pPr>
        <w:spacing w:after="0" w:line="240" w:lineRule="auto"/>
        <w:jc w:val="center"/>
        <w:rPr>
          <w:rFonts w:ascii="Times New Roman" w:hAnsi="Times New Roman" w:cs="Times New Roman"/>
          <w:b/>
          <w:caps/>
          <w:lang w:val="sq-AL"/>
        </w:rPr>
      </w:pPr>
      <w:r>
        <w:rPr>
          <w:rFonts w:ascii="Times New Roman" w:hAnsi="Times New Roman" w:cs="Times New Roman"/>
          <w:b/>
          <w:caps/>
          <w:lang w:val="sq-AL"/>
        </w:rPr>
        <w:t xml:space="preserve">     </w:t>
      </w:r>
      <w:r w:rsidR="00D41640">
        <w:rPr>
          <w:rFonts w:ascii="Times New Roman" w:hAnsi="Times New Roman" w:cs="Times New Roman"/>
          <w:sz w:val="24"/>
          <w:szCs w:val="24"/>
          <w:lang w:val="sq-AL" w:eastAsia="en-US"/>
        </w:rPr>
        <w:t xml:space="preserve">                                                                      </w:t>
      </w:r>
    </w:p>
    <w:p w:rsidR="00E24310" w:rsidRDefault="00E24310" w:rsidP="00E24310">
      <w:pPr>
        <w:ind w:left="-851" w:firstLine="707"/>
        <w:rPr>
          <w:b/>
          <w:lang w:val="sq-AL"/>
        </w:rPr>
      </w:pPr>
    </w:p>
    <w:p w:rsidR="00A7280D" w:rsidRPr="00A7280D" w:rsidRDefault="00A7280D" w:rsidP="00A7280D">
      <w:pPr>
        <w:ind w:left="-426"/>
        <w:jc w:val="center"/>
        <w:rPr>
          <w:rFonts w:ascii="Times New Roman" w:hAnsi="Times New Roman" w:cs="Times New Roman"/>
          <w:b/>
          <w:sz w:val="24"/>
          <w:szCs w:val="24"/>
          <w:lang w:val="sq-AL"/>
        </w:rPr>
      </w:pPr>
      <w:r w:rsidRPr="00A7280D">
        <w:rPr>
          <w:rFonts w:ascii="Times New Roman" w:hAnsi="Times New Roman" w:cs="Times New Roman"/>
          <w:b/>
          <w:sz w:val="24"/>
          <w:szCs w:val="24"/>
          <w:lang w:val="sq-AL"/>
        </w:rPr>
        <w:t>Relacion mbi zbatimin e buxhetit për vitin 2018</w:t>
      </w:r>
    </w:p>
    <w:p w:rsidR="00A7280D" w:rsidRPr="00A7280D" w:rsidRDefault="00A7280D" w:rsidP="00A7280D">
      <w:pPr>
        <w:jc w:val="both"/>
        <w:rPr>
          <w:rFonts w:ascii="Times New Roman" w:hAnsi="Times New Roman" w:cs="Times New Roman"/>
          <w:b/>
          <w:sz w:val="24"/>
          <w:szCs w:val="24"/>
          <w:lang w:val="pt-BR"/>
        </w:rPr>
      </w:pPr>
    </w:p>
    <w:p w:rsidR="00E24310" w:rsidRPr="00CC6A9A" w:rsidRDefault="00E24310" w:rsidP="00E24310">
      <w:pPr>
        <w:spacing w:line="240" w:lineRule="auto"/>
        <w:ind w:left="-142"/>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Buxheti i Kuvendit për vitin 2018, është miratuar me ligjin 109/2017 ”Për buxhetin e vitit 2018” sipas të cilit shpenzimet për zërat përkatës janë si në tabelën nr. 1:</w:t>
      </w:r>
    </w:p>
    <w:p w:rsidR="00E24310" w:rsidRPr="00CC6A9A" w:rsidRDefault="00E24310" w:rsidP="00E24310">
      <w:pPr>
        <w:spacing w:line="240" w:lineRule="auto"/>
        <w:ind w:left="-142"/>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Tabela nr.1                                                       në mln lekë</w:t>
      </w:r>
    </w:p>
    <w:tbl>
      <w:tblPr>
        <w:tblW w:w="5660" w:type="dxa"/>
        <w:tblLook w:val="04A0" w:firstRow="1" w:lastRow="0" w:firstColumn="1" w:lastColumn="0" w:noHBand="0" w:noVBand="1"/>
      </w:tblPr>
      <w:tblGrid>
        <w:gridCol w:w="3700"/>
        <w:gridCol w:w="1960"/>
      </w:tblGrid>
      <w:tr w:rsidR="00E24310" w:rsidRPr="00CC6A9A" w:rsidTr="008412C7">
        <w:trPr>
          <w:trHeight w:val="690"/>
        </w:trPr>
        <w:tc>
          <w:tcPr>
            <w:tcW w:w="3700" w:type="dxa"/>
            <w:tcBorders>
              <w:top w:val="double" w:sz="6" w:space="0" w:color="auto"/>
              <w:left w:val="double" w:sz="6" w:space="0" w:color="auto"/>
              <w:bottom w:val="single" w:sz="4" w:space="0" w:color="auto"/>
              <w:right w:val="single" w:sz="4" w:space="0" w:color="auto"/>
            </w:tcBorders>
            <w:vAlign w:val="center"/>
            <w:hideMark/>
          </w:tcPr>
          <w:p w:rsidR="00E24310" w:rsidRPr="00CC6A9A" w:rsidRDefault="00E24310" w:rsidP="008412C7">
            <w:pPr>
              <w:spacing w:after="0" w:line="240" w:lineRule="auto"/>
              <w:jc w:val="center"/>
              <w:rPr>
                <w:rFonts w:ascii="Arial" w:eastAsia="Times New Roman" w:hAnsi="Arial" w:cs="Arial"/>
                <w:b/>
                <w:bCs/>
                <w:sz w:val="16"/>
                <w:szCs w:val="16"/>
                <w:lang w:val="sq-AL" w:eastAsia="sq-AL"/>
              </w:rPr>
            </w:pPr>
            <w:r w:rsidRPr="00CC6A9A">
              <w:rPr>
                <w:rFonts w:ascii="Arial" w:eastAsia="Times New Roman" w:hAnsi="Arial" w:cs="Arial"/>
                <w:b/>
                <w:bCs/>
                <w:sz w:val="16"/>
                <w:szCs w:val="16"/>
                <w:lang w:val="sq-AL" w:eastAsia="sq-AL"/>
              </w:rPr>
              <w:t>Zërat buxhetorë</w:t>
            </w:r>
          </w:p>
        </w:tc>
        <w:tc>
          <w:tcPr>
            <w:tcW w:w="1960" w:type="dxa"/>
            <w:tcBorders>
              <w:top w:val="double" w:sz="6" w:space="0" w:color="auto"/>
              <w:left w:val="nil"/>
              <w:bottom w:val="single" w:sz="4" w:space="0" w:color="auto"/>
              <w:right w:val="double" w:sz="6" w:space="0" w:color="auto"/>
            </w:tcBorders>
            <w:vAlign w:val="center"/>
            <w:hideMark/>
          </w:tcPr>
          <w:p w:rsidR="00E24310" w:rsidRPr="00CC6A9A" w:rsidRDefault="00E24310" w:rsidP="008412C7">
            <w:pPr>
              <w:spacing w:after="0" w:line="240" w:lineRule="auto"/>
              <w:jc w:val="center"/>
              <w:rPr>
                <w:rFonts w:ascii="Arial" w:eastAsia="Times New Roman" w:hAnsi="Arial" w:cs="Arial"/>
                <w:b/>
                <w:bCs/>
                <w:sz w:val="16"/>
                <w:szCs w:val="16"/>
                <w:lang w:val="sq-AL" w:eastAsia="sq-AL"/>
              </w:rPr>
            </w:pPr>
            <w:r w:rsidRPr="00CC6A9A">
              <w:rPr>
                <w:rFonts w:ascii="Arial" w:eastAsia="Times New Roman" w:hAnsi="Arial" w:cs="Arial"/>
                <w:b/>
                <w:bCs/>
                <w:sz w:val="16"/>
                <w:szCs w:val="16"/>
                <w:lang w:val="sq-AL" w:eastAsia="sq-AL"/>
              </w:rPr>
              <w:t>vlera në milion lekë</w:t>
            </w:r>
          </w:p>
        </w:tc>
      </w:tr>
      <w:tr w:rsidR="00E24310" w:rsidRPr="00CC6A9A" w:rsidTr="008412C7">
        <w:trPr>
          <w:trHeight w:val="300"/>
        </w:trPr>
        <w:tc>
          <w:tcPr>
            <w:tcW w:w="3700" w:type="dxa"/>
            <w:tcBorders>
              <w:top w:val="nil"/>
              <w:left w:val="double" w:sz="6" w:space="0" w:color="auto"/>
              <w:bottom w:val="single" w:sz="4" w:space="0" w:color="auto"/>
              <w:right w:val="single" w:sz="4" w:space="0" w:color="auto"/>
            </w:tcBorders>
            <w:shd w:val="clear" w:color="auto" w:fill="F2DCDB"/>
            <w:vAlign w:val="center"/>
            <w:hideMark/>
          </w:tcPr>
          <w:p w:rsidR="00E24310" w:rsidRPr="00CC6A9A" w:rsidRDefault="00E24310" w:rsidP="008412C7">
            <w:pPr>
              <w:spacing w:after="0" w:line="240" w:lineRule="auto"/>
              <w:jc w:val="center"/>
              <w:rPr>
                <w:rFonts w:ascii="Arial" w:eastAsia="Times New Roman" w:hAnsi="Arial" w:cs="Arial"/>
                <w:b/>
                <w:bCs/>
                <w:sz w:val="16"/>
                <w:szCs w:val="16"/>
                <w:lang w:val="sq-AL" w:eastAsia="sq-AL"/>
              </w:rPr>
            </w:pPr>
            <w:r w:rsidRPr="00CC6A9A">
              <w:rPr>
                <w:rFonts w:ascii="Arial" w:eastAsia="Times New Roman" w:hAnsi="Arial" w:cs="Arial"/>
                <w:b/>
                <w:bCs/>
                <w:sz w:val="16"/>
                <w:szCs w:val="16"/>
                <w:lang w:val="sq-AL" w:eastAsia="sq-AL"/>
              </w:rPr>
              <w:t>Programi I veprimtarisë ligjvënëse</w:t>
            </w:r>
          </w:p>
        </w:tc>
        <w:tc>
          <w:tcPr>
            <w:tcW w:w="1960" w:type="dxa"/>
            <w:tcBorders>
              <w:top w:val="nil"/>
              <w:left w:val="nil"/>
              <w:bottom w:val="single" w:sz="4" w:space="0" w:color="auto"/>
              <w:right w:val="double" w:sz="6" w:space="0" w:color="auto"/>
            </w:tcBorders>
            <w:shd w:val="clear" w:color="auto" w:fill="F2DCDB"/>
            <w:vAlign w:val="center"/>
            <w:hideMark/>
          </w:tcPr>
          <w:p w:rsidR="00E24310" w:rsidRPr="00CC6A9A" w:rsidRDefault="00E24310" w:rsidP="008412C7">
            <w:pPr>
              <w:spacing w:after="0" w:line="240" w:lineRule="auto"/>
              <w:jc w:val="center"/>
              <w:rPr>
                <w:rFonts w:ascii="Arial" w:eastAsia="Times New Roman" w:hAnsi="Arial" w:cs="Arial"/>
                <w:b/>
                <w:bCs/>
                <w:sz w:val="16"/>
                <w:szCs w:val="16"/>
                <w:lang w:val="sq-AL" w:eastAsia="sq-AL"/>
              </w:rPr>
            </w:pPr>
            <w:r w:rsidRPr="00CC6A9A">
              <w:rPr>
                <w:rFonts w:ascii="Arial" w:eastAsia="Times New Roman" w:hAnsi="Arial" w:cs="Arial"/>
                <w:b/>
                <w:bCs/>
                <w:sz w:val="16"/>
                <w:szCs w:val="16"/>
                <w:lang w:val="sq-AL" w:eastAsia="sq-AL"/>
              </w:rPr>
              <w:t> </w:t>
            </w:r>
          </w:p>
        </w:tc>
      </w:tr>
      <w:tr w:rsidR="00E24310" w:rsidRPr="00CC6A9A" w:rsidTr="008412C7">
        <w:trPr>
          <w:trHeight w:val="300"/>
        </w:trPr>
        <w:tc>
          <w:tcPr>
            <w:tcW w:w="3700"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Arial" w:eastAsia="Times New Roman" w:hAnsi="Arial" w:cs="Arial"/>
                <w:sz w:val="16"/>
                <w:szCs w:val="16"/>
                <w:lang w:val="sq-AL" w:eastAsia="sq-AL"/>
              </w:rPr>
            </w:pPr>
            <w:r w:rsidRPr="00CC6A9A">
              <w:rPr>
                <w:rFonts w:ascii="Arial" w:eastAsia="Times New Roman" w:hAnsi="Arial" w:cs="Arial"/>
                <w:sz w:val="16"/>
                <w:szCs w:val="16"/>
                <w:lang w:val="sq-AL" w:eastAsia="sq-AL"/>
              </w:rPr>
              <w:t>Shpenzime për paga</w:t>
            </w:r>
          </w:p>
        </w:tc>
        <w:tc>
          <w:tcPr>
            <w:tcW w:w="1960" w:type="dxa"/>
            <w:tcBorders>
              <w:top w:val="nil"/>
              <w:left w:val="nil"/>
              <w:bottom w:val="single" w:sz="4" w:space="0" w:color="auto"/>
              <w:right w:val="double" w:sz="6" w:space="0" w:color="auto"/>
            </w:tcBorders>
            <w:vAlign w:val="center"/>
            <w:hideMark/>
          </w:tcPr>
          <w:p w:rsidR="00E24310" w:rsidRPr="00CC6A9A" w:rsidRDefault="00E24310" w:rsidP="008412C7">
            <w:pPr>
              <w:spacing w:after="0" w:line="240" w:lineRule="auto"/>
              <w:jc w:val="right"/>
              <w:rPr>
                <w:rFonts w:ascii="Arial" w:eastAsia="Times New Roman" w:hAnsi="Arial" w:cs="Arial"/>
                <w:sz w:val="18"/>
                <w:szCs w:val="18"/>
                <w:lang w:val="sq-AL" w:eastAsia="sq-AL"/>
              </w:rPr>
            </w:pPr>
            <w:r w:rsidRPr="00CC6A9A">
              <w:rPr>
                <w:rFonts w:ascii="Arial" w:eastAsia="Times New Roman" w:hAnsi="Arial" w:cs="Arial"/>
                <w:sz w:val="18"/>
                <w:szCs w:val="18"/>
                <w:lang w:val="sq-AL" w:eastAsia="sq-AL"/>
              </w:rPr>
              <w:t>332</w:t>
            </w:r>
          </w:p>
        </w:tc>
      </w:tr>
      <w:tr w:rsidR="00E24310" w:rsidRPr="00CC6A9A" w:rsidTr="008412C7">
        <w:trPr>
          <w:trHeight w:val="300"/>
        </w:trPr>
        <w:tc>
          <w:tcPr>
            <w:tcW w:w="3700"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Arial" w:eastAsia="Times New Roman" w:hAnsi="Arial" w:cs="Arial"/>
                <w:sz w:val="16"/>
                <w:szCs w:val="16"/>
                <w:lang w:val="sq-AL" w:eastAsia="sq-AL"/>
              </w:rPr>
            </w:pPr>
            <w:r w:rsidRPr="00CC6A9A">
              <w:rPr>
                <w:rFonts w:ascii="Arial" w:eastAsia="Times New Roman" w:hAnsi="Arial" w:cs="Arial"/>
                <w:sz w:val="16"/>
                <w:szCs w:val="16"/>
                <w:lang w:val="sq-AL" w:eastAsia="sq-AL"/>
              </w:rPr>
              <w:t>Shpenzime për sigurimet shoqërore</w:t>
            </w:r>
          </w:p>
        </w:tc>
        <w:tc>
          <w:tcPr>
            <w:tcW w:w="1960" w:type="dxa"/>
            <w:tcBorders>
              <w:top w:val="nil"/>
              <w:left w:val="nil"/>
              <w:bottom w:val="single" w:sz="4" w:space="0" w:color="auto"/>
              <w:right w:val="double" w:sz="6" w:space="0" w:color="auto"/>
            </w:tcBorders>
            <w:vAlign w:val="center"/>
            <w:hideMark/>
          </w:tcPr>
          <w:p w:rsidR="00E24310" w:rsidRPr="00CC6A9A" w:rsidRDefault="00E24310" w:rsidP="008412C7">
            <w:pPr>
              <w:spacing w:after="0" w:line="240" w:lineRule="auto"/>
              <w:jc w:val="right"/>
              <w:rPr>
                <w:rFonts w:ascii="Arial" w:eastAsia="Times New Roman" w:hAnsi="Arial" w:cs="Arial"/>
                <w:sz w:val="18"/>
                <w:szCs w:val="18"/>
                <w:lang w:val="sq-AL" w:eastAsia="sq-AL"/>
              </w:rPr>
            </w:pPr>
            <w:r w:rsidRPr="00CC6A9A">
              <w:rPr>
                <w:rFonts w:ascii="Arial" w:eastAsia="Times New Roman" w:hAnsi="Arial" w:cs="Arial"/>
                <w:sz w:val="18"/>
                <w:szCs w:val="18"/>
                <w:lang w:val="sq-AL" w:eastAsia="sq-AL"/>
              </w:rPr>
              <w:t>47</w:t>
            </w:r>
          </w:p>
        </w:tc>
      </w:tr>
      <w:tr w:rsidR="00E24310" w:rsidRPr="00CC6A9A" w:rsidTr="008412C7">
        <w:trPr>
          <w:trHeight w:val="300"/>
        </w:trPr>
        <w:tc>
          <w:tcPr>
            <w:tcW w:w="3700"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Arial" w:eastAsia="Times New Roman" w:hAnsi="Arial" w:cs="Arial"/>
                <w:sz w:val="16"/>
                <w:szCs w:val="16"/>
                <w:lang w:val="sq-AL" w:eastAsia="sq-AL"/>
              </w:rPr>
            </w:pPr>
            <w:r w:rsidRPr="00CC6A9A">
              <w:rPr>
                <w:rFonts w:ascii="Arial" w:eastAsia="Times New Roman" w:hAnsi="Arial" w:cs="Arial"/>
                <w:sz w:val="16"/>
                <w:szCs w:val="16"/>
                <w:lang w:val="sq-AL" w:eastAsia="sq-AL"/>
              </w:rPr>
              <w:t>Shpenzime për mallra dhe shërbime</w:t>
            </w:r>
          </w:p>
        </w:tc>
        <w:tc>
          <w:tcPr>
            <w:tcW w:w="1960" w:type="dxa"/>
            <w:tcBorders>
              <w:top w:val="nil"/>
              <w:left w:val="nil"/>
              <w:bottom w:val="single" w:sz="4" w:space="0" w:color="auto"/>
              <w:right w:val="double" w:sz="6" w:space="0" w:color="auto"/>
            </w:tcBorders>
            <w:vAlign w:val="center"/>
            <w:hideMark/>
          </w:tcPr>
          <w:p w:rsidR="00E24310" w:rsidRPr="00CC6A9A" w:rsidRDefault="00E24310" w:rsidP="008412C7">
            <w:pPr>
              <w:spacing w:after="0" w:line="240" w:lineRule="auto"/>
              <w:jc w:val="right"/>
              <w:rPr>
                <w:rFonts w:ascii="Arial" w:eastAsia="Times New Roman" w:hAnsi="Arial" w:cs="Arial"/>
                <w:sz w:val="18"/>
                <w:szCs w:val="18"/>
                <w:lang w:val="sq-AL" w:eastAsia="sq-AL"/>
              </w:rPr>
            </w:pPr>
            <w:r w:rsidRPr="00CC6A9A">
              <w:rPr>
                <w:rFonts w:ascii="Arial" w:eastAsia="Times New Roman" w:hAnsi="Arial" w:cs="Arial"/>
                <w:sz w:val="18"/>
                <w:szCs w:val="18"/>
                <w:lang w:val="sq-AL" w:eastAsia="sq-AL"/>
              </w:rPr>
              <w:t>292</w:t>
            </w:r>
          </w:p>
        </w:tc>
      </w:tr>
      <w:tr w:rsidR="00E24310" w:rsidRPr="00CC6A9A" w:rsidTr="008412C7">
        <w:trPr>
          <w:trHeight w:val="315"/>
        </w:trPr>
        <w:tc>
          <w:tcPr>
            <w:tcW w:w="3700" w:type="dxa"/>
            <w:tcBorders>
              <w:top w:val="nil"/>
              <w:left w:val="double" w:sz="6" w:space="0" w:color="auto"/>
              <w:bottom w:val="nil"/>
              <w:right w:val="single" w:sz="4" w:space="0" w:color="auto"/>
            </w:tcBorders>
            <w:noWrap/>
            <w:vAlign w:val="bottom"/>
            <w:hideMark/>
          </w:tcPr>
          <w:p w:rsidR="00E24310" w:rsidRPr="00CC6A9A" w:rsidRDefault="00E24310" w:rsidP="008412C7">
            <w:pPr>
              <w:spacing w:after="0" w:line="240" w:lineRule="auto"/>
              <w:rPr>
                <w:rFonts w:ascii="Arial" w:eastAsia="Times New Roman" w:hAnsi="Arial" w:cs="Arial"/>
                <w:sz w:val="16"/>
                <w:szCs w:val="16"/>
                <w:lang w:val="sq-AL" w:eastAsia="sq-AL"/>
              </w:rPr>
            </w:pPr>
            <w:r w:rsidRPr="00CC6A9A">
              <w:rPr>
                <w:rFonts w:ascii="Arial" w:eastAsia="Times New Roman" w:hAnsi="Arial" w:cs="Arial"/>
                <w:sz w:val="16"/>
                <w:szCs w:val="16"/>
                <w:lang w:val="sq-AL" w:eastAsia="sq-AL"/>
              </w:rPr>
              <w:t>Kuota parlamentare</w:t>
            </w:r>
          </w:p>
        </w:tc>
        <w:tc>
          <w:tcPr>
            <w:tcW w:w="1960" w:type="dxa"/>
            <w:tcBorders>
              <w:top w:val="nil"/>
              <w:left w:val="nil"/>
              <w:bottom w:val="nil"/>
              <w:right w:val="double" w:sz="6" w:space="0" w:color="auto"/>
            </w:tcBorders>
            <w:vAlign w:val="center"/>
            <w:hideMark/>
          </w:tcPr>
          <w:p w:rsidR="00E24310" w:rsidRPr="00CC6A9A" w:rsidRDefault="00E24310" w:rsidP="008412C7">
            <w:pPr>
              <w:spacing w:after="0" w:line="240" w:lineRule="auto"/>
              <w:jc w:val="right"/>
              <w:rPr>
                <w:rFonts w:ascii="Arial" w:eastAsia="Times New Roman" w:hAnsi="Arial" w:cs="Arial"/>
                <w:sz w:val="18"/>
                <w:szCs w:val="18"/>
                <w:lang w:val="sq-AL" w:eastAsia="sq-AL"/>
              </w:rPr>
            </w:pPr>
            <w:r w:rsidRPr="00CC6A9A">
              <w:rPr>
                <w:rFonts w:ascii="Arial" w:eastAsia="Times New Roman" w:hAnsi="Arial" w:cs="Arial"/>
                <w:sz w:val="18"/>
                <w:szCs w:val="18"/>
                <w:lang w:val="sq-AL" w:eastAsia="sq-AL"/>
              </w:rPr>
              <w:t>15</w:t>
            </w:r>
          </w:p>
        </w:tc>
      </w:tr>
      <w:tr w:rsidR="00E24310" w:rsidRPr="00CC6A9A" w:rsidTr="008412C7">
        <w:trPr>
          <w:trHeight w:val="330"/>
        </w:trPr>
        <w:tc>
          <w:tcPr>
            <w:tcW w:w="3700" w:type="dxa"/>
            <w:tcBorders>
              <w:top w:val="double" w:sz="6" w:space="0" w:color="auto"/>
              <w:left w:val="double" w:sz="6" w:space="0" w:color="auto"/>
              <w:bottom w:val="double" w:sz="6" w:space="0" w:color="auto"/>
              <w:right w:val="single" w:sz="4" w:space="0" w:color="auto"/>
            </w:tcBorders>
            <w:shd w:val="clear" w:color="auto" w:fill="F2DCDB"/>
            <w:noWrap/>
            <w:vAlign w:val="bottom"/>
            <w:hideMark/>
          </w:tcPr>
          <w:p w:rsidR="00E24310" w:rsidRPr="00CC6A9A" w:rsidRDefault="00E24310" w:rsidP="008412C7">
            <w:pPr>
              <w:spacing w:after="0" w:line="240" w:lineRule="auto"/>
              <w:rPr>
                <w:rFonts w:ascii="Arial" w:eastAsia="Times New Roman" w:hAnsi="Arial" w:cs="Arial"/>
                <w:sz w:val="16"/>
                <w:szCs w:val="16"/>
                <w:lang w:val="sq-AL" w:eastAsia="sq-AL"/>
              </w:rPr>
            </w:pPr>
            <w:r w:rsidRPr="00CC6A9A">
              <w:rPr>
                <w:rFonts w:ascii="Arial" w:eastAsia="Times New Roman" w:hAnsi="Arial" w:cs="Arial"/>
                <w:sz w:val="16"/>
                <w:szCs w:val="16"/>
                <w:lang w:val="sq-AL" w:eastAsia="sq-AL"/>
              </w:rPr>
              <w:t> </w:t>
            </w:r>
          </w:p>
        </w:tc>
        <w:tc>
          <w:tcPr>
            <w:tcW w:w="1960" w:type="dxa"/>
            <w:tcBorders>
              <w:top w:val="double" w:sz="6" w:space="0" w:color="auto"/>
              <w:left w:val="nil"/>
              <w:bottom w:val="double" w:sz="6" w:space="0" w:color="auto"/>
              <w:right w:val="double" w:sz="6" w:space="0" w:color="auto"/>
            </w:tcBorders>
            <w:shd w:val="clear" w:color="auto" w:fill="F2DCDB"/>
            <w:vAlign w:val="center"/>
            <w:hideMark/>
          </w:tcPr>
          <w:p w:rsidR="00E24310" w:rsidRPr="00CC6A9A" w:rsidRDefault="00E24310" w:rsidP="008412C7">
            <w:pPr>
              <w:spacing w:after="0" w:line="240" w:lineRule="auto"/>
              <w:jc w:val="right"/>
              <w:rPr>
                <w:rFonts w:ascii="Arial" w:eastAsia="Times New Roman" w:hAnsi="Arial" w:cs="Arial"/>
                <w:b/>
                <w:bCs/>
                <w:lang w:val="sq-AL" w:eastAsia="sq-AL"/>
              </w:rPr>
            </w:pPr>
            <w:r w:rsidRPr="00CC6A9A">
              <w:rPr>
                <w:rFonts w:ascii="Arial" w:eastAsia="Times New Roman" w:hAnsi="Arial" w:cs="Arial"/>
                <w:b/>
                <w:bCs/>
                <w:lang w:val="sq-AL" w:eastAsia="sq-AL"/>
              </w:rPr>
              <w:t>686</w:t>
            </w:r>
          </w:p>
        </w:tc>
      </w:tr>
      <w:tr w:rsidR="00E24310" w:rsidRPr="00CC6A9A" w:rsidTr="008412C7">
        <w:trPr>
          <w:trHeight w:val="272"/>
        </w:trPr>
        <w:tc>
          <w:tcPr>
            <w:tcW w:w="3700" w:type="dxa"/>
            <w:tcBorders>
              <w:top w:val="nil"/>
              <w:left w:val="double" w:sz="6" w:space="0" w:color="auto"/>
              <w:bottom w:val="single" w:sz="4" w:space="0" w:color="auto"/>
              <w:right w:val="single" w:sz="4" w:space="0" w:color="auto"/>
            </w:tcBorders>
            <w:shd w:val="clear" w:color="auto" w:fill="F2DCDB"/>
            <w:vAlign w:val="center"/>
            <w:hideMark/>
          </w:tcPr>
          <w:p w:rsidR="00E24310" w:rsidRPr="00CC6A9A" w:rsidRDefault="00E24310" w:rsidP="008412C7">
            <w:pPr>
              <w:spacing w:after="0" w:line="240" w:lineRule="auto"/>
              <w:jc w:val="center"/>
              <w:rPr>
                <w:rFonts w:ascii="Arial" w:eastAsia="Times New Roman" w:hAnsi="Arial" w:cs="Arial"/>
                <w:b/>
                <w:bCs/>
                <w:sz w:val="16"/>
                <w:szCs w:val="16"/>
                <w:lang w:val="sq-AL" w:eastAsia="sq-AL"/>
              </w:rPr>
            </w:pPr>
            <w:r w:rsidRPr="00CC6A9A">
              <w:rPr>
                <w:rFonts w:ascii="Arial" w:eastAsia="Times New Roman" w:hAnsi="Arial" w:cs="Arial"/>
                <w:b/>
                <w:bCs/>
                <w:sz w:val="16"/>
                <w:szCs w:val="16"/>
                <w:lang w:val="sq-AL" w:eastAsia="sq-AL"/>
              </w:rPr>
              <w:t>Programi i veprimtarisë administrative</w:t>
            </w:r>
          </w:p>
        </w:tc>
        <w:tc>
          <w:tcPr>
            <w:tcW w:w="1960" w:type="dxa"/>
            <w:tcBorders>
              <w:top w:val="nil"/>
              <w:left w:val="nil"/>
              <w:bottom w:val="single" w:sz="4" w:space="0" w:color="auto"/>
              <w:right w:val="double" w:sz="6" w:space="0" w:color="auto"/>
            </w:tcBorders>
            <w:shd w:val="clear" w:color="auto" w:fill="F2DCDB"/>
            <w:vAlign w:val="center"/>
            <w:hideMark/>
          </w:tcPr>
          <w:p w:rsidR="00E24310" w:rsidRPr="00CC6A9A" w:rsidRDefault="00E24310" w:rsidP="008412C7">
            <w:pPr>
              <w:spacing w:after="0" w:line="240" w:lineRule="auto"/>
              <w:jc w:val="right"/>
              <w:rPr>
                <w:rFonts w:ascii="Arial" w:eastAsia="Times New Roman" w:hAnsi="Arial" w:cs="Arial"/>
                <w:b/>
                <w:bCs/>
                <w:sz w:val="16"/>
                <w:szCs w:val="16"/>
                <w:lang w:val="sq-AL" w:eastAsia="sq-AL"/>
              </w:rPr>
            </w:pPr>
            <w:r w:rsidRPr="00CC6A9A">
              <w:rPr>
                <w:rFonts w:ascii="Arial" w:eastAsia="Times New Roman" w:hAnsi="Arial" w:cs="Arial"/>
                <w:b/>
                <w:bCs/>
                <w:sz w:val="16"/>
                <w:szCs w:val="16"/>
                <w:lang w:val="sq-AL" w:eastAsia="sq-AL"/>
              </w:rPr>
              <w:t> </w:t>
            </w:r>
          </w:p>
        </w:tc>
      </w:tr>
      <w:tr w:rsidR="00E24310" w:rsidRPr="00CC6A9A" w:rsidTr="008412C7">
        <w:trPr>
          <w:trHeight w:val="300"/>
        </w:trPr>
        <w:tc>
          <w:tcPr>
            <w:tcW w:w="3700"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Arial" w:eastAsia="Times New Roman" w:hAnsi="Arial" w:cs="Arial"/>
                <w:sz w:val="16"/>
                <w:szCs w:val="16"/>
                <w:lang w:val="sq-AL" w:eastAsia="sq-AL"/>
              </w:rPr>
            </w:pPr>
            <w:r w:rsidRPr="00CC6A9A">
              <w:rPr>
                <w:rFonts w:ascii="Arial" w:eastAsia="Times New Roman" w:hAnsi="Arial" w:cs="Arial"/>
                <w:sz w:val="16"/>
                <w:szCs w:val="16"/>
                <w:lang w:val="sq-AL" w:eastAsia="sq-AL"/>
              </w:rPr>
              <w:t>Shpenzime për paga</w:t>
            </w:r>
          </w:p>
        </w:tc>
        <w:tc>
          <w:tcPr>
            <w:tcW w:w="1960" w:type="dxa"/>
            <w:tcBorders>
              <w:top w:val="nil"/>
              <w:left w:val="nil"/>
              <w:bottom w:val="single" w:sz="4" w:space="0" w:color="auto"/>
              <w:right w:val="double" w:sz="6" w:space="0" w:color="auto"/>
            </w:tcBorders>
            <w:noWrap/>
            <w:vAlign w:val="bottom"/>
            <w:hideMark/>
          </w:tcPr>
          <w:p w:rsidR="00E24310" w:rsidRPr="00CC6A9A" w:rsidRDefault="00E24310" w:rsidP="008412C7">
            <w:pPr>
              <w:spacing w:after="0" w:line="240" w:lineRule="auto"/>
              <w:jc w:val="right"/>
              <w:rPr>
                <w:rFonts w:ascii="Arial" w:eastAsia="Times New Roman" w:hAnsi="Arial" w:cs="Arial"/>
                <w:sz w:val="18"/>
                <w:szCs w:val="18"/>
                <w:lang w:val="sq-AL" w:eastAsia="sq-AL"/>
              </w:rPr>
            </w:pPr>
            <w:r w:rsidRPr="00CC6A9A">
              <w:rPr>
                <w:rFonts w:ascii="Arial" w:eastAsia="Times New Roman" w:hAnsi="Arial" w:cs="Arial"/>
                <w:sz w:val="18"/>
                <w:szCs w:val="18"/>
                <w:lang w:val="sq-AL" w:eastAsia="sq-AL"/>
              </w:rPr>
              <w:t>199</w:t>
            </w:r>
          </w:p>
        </w:tc>
      </w:tr>
      <w:tr w:rsidR="00E24310" w:rsidRPr="00CC6A9A" w:rsidTr="008412C7">
        <w:trPr>
          <w:trHeight w:val="300"/>
        </w:trPr>
        <w:tc>
          <w:tcPr>
            <w:tcW w:w="3700"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Arial" w:eastAsia="Times New Roman" w:hAnsi="Arial" w:cs="Arial"/>
                <w:sz w:val="16"/>
                <w:szCs w:val="16"/>
                <w:lang w:val="sq-AL" w:eastAsia="sq-AL"/>
              </w:rPr>
            </w:pPr>
            <w:r w:rsidRPr="00CC6A9A">
              <w:rPr>
                <w:rFonts w:ascii="Arial" w:eastAsia="Times New Roman" w:hAnsi="Arial" w:cs="Arial"/>
                <w:sz w:val="16"/>
                <w:szCs w:val="16"/>
                <w:lang w:val="sq-AL" w:eastAsia="sq-AL"/>
              </w:rPr>
              <w:t>Shpenzime për sigurimet shoqërore</w:t>
            </w:r>
          </w:p>
        </w:tc>
        <w:tc>
          <w:tcPr>
            <w:tcW w:w="1960" w:type="dxa"/>
            <w:tcBorders>
              <w:top w:val="nil"/>
              <w:left w:val="nil"/>
              <w:bottom w:val="single" w:sz="4" w:space="0" w:color="auto"/>
              <w:right w:val="double" w:sz="6" w:space="0" w:color="auto"/>
            </w:tcBorders>
            <w:noWrap/>
            <w:vAlign w:val="bottom"/>
            <w:hideMark/>
          </w:tcPr>
          <w:p w:rsidR="00E24310" w:rsidRPr="00CC6A9A" w:rsidRDefault="00E24310" w:rsidP="008412C7">
            <w:pPr>
              <w:spacing w:after="0" w:line="240" w:lineRule="auto"/>
              <w:jc w:val="right"/>
              <w:rPr>
                <w:rFonts w:ascii="Arial" w:eastAsia="Times New Roman" w:hAnsi="Arial" w:cs="Arial"/>
                <w:sz w:val="18"/>
                <w:szCs w:val="18"/>
                <w:lang w:val="sq-AL" w:eastAsia="sq-AL"/>
              </w:rPr>
            </w:pPr>
            <w:r w:rsidRPr="00CC6A9A">
              <w:rPr>
                <w:rFonts w:ascii="Arial" w:eastAsia="Times New Roman" w:hAnsi="Arial" w:cs="Arial"/>
                <w:sz w:val="18"/>
                <w:szCs w:val="18"/>
                <w:lang w:val="sq-AL" w:eastAsia="sq-AL"/>
              </w:rPr>
              <w:t>33</w:t>
            </w:r>
          </w:p>
        </w:tc>
      </w:tr>
      <w:tr w:rsidR="00E24310" w:rsidRPr="00CC6A9A" w:rsidTr="008412C7">
        <w:trPr>
          <w:trHeight w:val="300"/>
        </w:trPr>
        <w:tc>
          <w:tcPr>
            <w:tcW w:w="3700"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Arial" w:eastAsia="Times New Roman" w:hAnsi="Arial" w:cs="Arial"/>
                <w:sz w:val="16"/>
                <w:szCs w:val="16"/>
                <w:lang w:val="sq-AL" w:eastAsia="sq-AL"/>
              </w:rPr>
            </w:pPr>
            <w:r w:rsidRPr="00CC6A9A">
              <w:rPr>
                <w:rFonts w:ascii="Arial" w:eastAsia="Times New Roman" w:hAnsi="Arial" w:cs="Arial"/>
                <w:sz w:val="16"/>
                <w:szCs w:val="16"/>
                <w:lang w:val="sq-AL" w:eastAsia="sq-AL"/>
              </w:rPr>
              <w:t>Shpenzime për mallra dhe shërbime</w:t>
            </w:r>
          </w:p>
        </w:tc>
        <w:tc>
          <w:tcPr>
            <w:tcW w:w="1960" w:type="dxa"/>
            <w:tcBorders>
              <w:top w:val="nil"/>
              <w:left w:val="nil"/>
              <w:bottom w:val="single" w:sz="4" w:space="0" w:color="auto"/>
              <w:right w:val="double" w:sz="6" w:space="0" w:color="auto"/>
            </w:tcBorders>
            <w:noWrap/>
            <w:vAlign w:val="bottom"/>
            <w:hideMark/>
          </w:tcPr>
          <w:p w:rsidR="00E24310" w:rsidRPr="00CC6A9A" w:rsidRDefault="00E24310" w:rsidP="008412C7">
            <w:pPr>
              <w:spacing w:after="0" w:line="240" w:lineRule="auto"/>
              <w:jc w:val="right"/>
              <w:rPr>
                <w:rFonts w:ascii="Arial" w:eastAsia="Times New Roman" w:hAnsi="Arial" w:cs="Arial"/>
                <w:sz w:val="18"/>
                <w:szCs w:val="18"/>
                <w:lang w:val="sq-AL" w:eastAsia="sq-AL"/>
              </w:rPr>
            </w:pPr>
            <w:r w:rsidRPr="00CC6A9A">
              <w:rPr>
                <w:rFonts w:ascii="Arial" w:eastAsia="Times New Roman" w:hAnsi="Arial" w:cs="Arial"/>
                <w:sz w:val="18"/>
                <w:szCs w:val="18"/>
                <w:lang w:val="sq-AL" w:eastAsia="sq-AL"/>
              </w:rPr>
              <w:t>151</w:t>
            </w:r>
          </w:p>
        </w:tc>
      </w:tr>
      <w:tr w:rsidR="00E24310" w:rsidRPr="00CC6A9A" w:rsidTr="008412C7">
        <w:trPr>
          <w:trHeight w:val="315"/>
        </w:trPr>
        <w:tc>
          <w:tcPr>
            <w:tcW w:w="3700"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Arial" w:eastAsia="Times New Roman" w:hAnsi="Arial" w:cs="Arial"/>
                <w:sz w:val="16"/>
                <w:szCs w:val="16"/>
                <w:lang w:val="sq-AL" w:eastAsia="sq-AL"/>
              </w:rPr>
            </w:pPr>
            <w:r w:rsidRPr="00CC6A9A">
              <w:rPr>
                <w:rFonts w:ascii="Arial" w:eastAsia="Times New Roman" w:hAnsi="Arial" w:cs="Arial"/>
                <w:sz w:val="16"/>
                <w:szCs w:val="16"/>
                <w:lang w:val="sq-AL" w:eastAsia="sq-AL"/>
              </w:rPr>
              <w:t>Shpenzime kapitale nga buxheti shtetit</w:t>
            </w:r>
          </w:p>
        </w:tc>
        <w:tc>
          <w:tcPr>
            <w:tcW w:w="1960" w:type="dxa"/>
            <w:tcBorders>
              <w:top w:val="nil"/>
              <w:left w:val="nil"/>
              <w:bottom w:val="single" w:sz="4" w:space="0" w:color="auto"/>
              <w:right w:val="double" w:sz="6" w:space="0" w:color="auto"/>
            </w:tcBorders>
            <w:noWrap/>
            <w:vAlign w:val="bottom"/>
            <w:hideMark/>
          </w:tcPr>
          <w:p w:rsidR="00E24310" w:rsidRPr="00CC6A9A" w:rsidRDefault="00E24310" w:rsidP="008412C7">
            <w:pPr>
              <w:spacing w:after="0" w:line="240" w:lineRule="auto"/>
              <w:jc w:val="right"/>
              <w:rPr>
                <w:rFonts w:ascii="Arial" w:eastAsia="Times New Roman" w:hAnsi="Arial" w:cs="Arial"/>
                <w:sz w:val="18"/>
                <w:szCs w:val="18"/>
                <w:lang w:val="sq-AL" w:eastAsia="sq-AL"/>
              </w:rPr>
            </w:pPr>
            <w:r w:rsidRPr="00CC6A9A">
              <w:rPr>
                <w:rFonts w:ascii="Arial" w:eastAsia="Times New Roman" w:hAnsi="Arial" w:cs="Arial"/>
                <w:sz w:val="18"/>
                <w:szCs w:val="18"/>
                <w:lang w:val="sq-AL" w:eastAsia="sq-AL"/>
              </w:rPr>
              <w:t>124</w:t>
            </w:r>
          </w:p>
        </w:tc>
      </w:tr>
      <w:tr w:rsidR="00E24310" w:rsidRPr="00CC6A9A" w:rsidTr="008412C7">
        <w:trPr>
          <w:trHeight w:val="330"/>
        </w:trPr>
        <w:tc>
          <w:tcPr>
            <w:tcW w:w="3700" w:type="dxa"/>
            <w:tcBorders>
              <w:top w:val="nil"/>
              <w:left w:val="double" w:sz="6" w:space="0" w:color="auto"/>
              <w:bottom w:val="nil"/>
              <w:right w:val="single" w:sz="4" w:space="0" w:color="auto"/>
            </w:tcBorders>
            <w:shd w:val="clear" w:color="auto" w:fill="F2DCDB"/>
            <w:noWrap/>
            <w:vAlign w:val="bottom"/>
            <w:hideMark/>
          </w:tcPr>
          <w:p w:rsidR="00E24310" w:rsidRPr="00CC6A9A" w:rsidRDefault="00E24310" w:rsidP="008412C7">
            <w:pPr>
              <w:spacing w:after="0" w:line="240" w:lineRule="auto"/>
              <w:rPr>
                <w:rFonts w:ascii="Arial" w:eastAsia="Times New Roman" w:hAnsi="Arial" w:cs="Arial"/>
                <w:sz w:val="16"/>
                <w:szCs w:val="16"/>
                <w:lang w:val="sq-AL" w:eastAsia="sq-AL"/>
              </w:rPr>
            </w:pPr>
            <w:r w:rsidRPr="00CC6A9A">
              <w:rPr>
                <w:rFonts w:ascii="Arial" w:eastAsia="Times New Roman" w:hAnsi="Arial" w:cs="Arial"/>
                <w:sz w:val="16"/>
                <w:szCs w:val="16"/>
                <w:lang w:val="sq-AL" w:eastAsia="sq-AL"/>
              </w:rPr>
              <w:t> </w:t>
            </w:r>
          </w:p>
        </w:tc>
        <w:tc>
          <w:tcPr>
            <w:tcW w:w="1960" w:type="dxa"/>
            <w:tcBorders>
              <w:top w:val="nil"/>
              <w:left w:val="nil"/>
              <w:bottom w:val="nil"/>
              <w:right w:val="double" w:sz="6" w:space="0" w:color="auto"/>
            </w:tcBorders>
            <w:shd w:val="clear" w:color="auto" w:fill="F2DCDB"/>
            <w:noWrap/>
            <w:vAlign w:val="bottom"/>
            <w:hideMark/>
          </w:tcPr>
          <w:p w:rsidR="00E24310" w:rsidRPr="00CC6A9A" w:rsidRDefault="00E24310" w:rsidP="008412C7">
            <w:pPr>
              <w:spacing w:after="0" w:line="240" w:lineRule="auto"/>
              <w:jc w:val="right"/>
              <w:rPr>
                <w:rFonts w:ascii="Arial" w:eastAsia="Times New Roman" w:hAnsi="Arial" w:cs="Arial"/>
                <w:b/>
                <w:bCs/>
                <w:lang w:val="sq-AL" w:eastAsia="sq-AL"/>
              </w:rPr>
            </w:pPr>
            <w:r w:rsidRPr="00CC6A9A">
              <w:rPr>
                <w:rFonts w:ascii="Arial" w:eastAsia="Times New Roman" w:hAnsi="Arial" w:cs="Arial"/>
                <w:b/>
                <w:bCs/>
                <w:lang w:val="sq-AL" w:eastAsia="sq-AL"/>
              </w:rPr>
              <w:t>507</w:t>
            </w:r>
          </w:p>
        </w:tc>
      </w:tr>
      <w:tr w:rsidR="00E24310" w:rsidRPr="00CC6A9A" w:rsidTr="008412C7">
        <w:trPr>
          <w:trHeight w:val="345"/>
        </w:trPr>
        <w:tc>
          <w:tcPr>
            <w:tcW w:w="3700" w:type="dxa"/>
            <w:tcBorders>
              <w:top w:val="double" w:sz="6" w:space="0" w:color="auto"/>
              <w:left w:val="double" w:sz="6" w:space="0" w:color="auto"/>
              <w:bottom w:val="double" w:sz="6" w:space="0" w:color="auto"/>
              <w:right w:val="single" w:sz="4" w:space="0" w:color="auto"/>
            </w:tcBorders>
            <w:shd w:val="clear" w:color="auto" w:fill="F2DCDB"/>
            <w:noWrap/>
            <w:vAlign w:val="bottom"/>
            <w:hideMark/>
          </w:tcPr>
          <w:p w:rsidR="00E24310" w:rsidRPr="00CC6A9A" w:rsidRDefault="00E24310" w:rsidP="008412C7">
            <w:pPr>
              <w:spacing w:after="0" w:line="240" w:lineRule="auto"/>
              <w:rPr>
                <w:rFonts w:ascii="Arial" w:eastAsia="Times New Roman" w:hAnsi="Arial" w:cs="Arial"/>
                <w:b/>
                <w:bCs/>
                <w:sz w:val="16"/>
                <w:szCs w:val="16"/>
                <w:lang w:val="sq-AL" w:eastAsia="sq-AL"/>
              </w:rPr>
            </w:pPr>
            <w:r w:rsidRPr="00CC6A9A">
              <w:rPr>
                <w:rFonts w:ascii="Arial" w:eastAsia="Times New Roman" w:hAnsi="Arial" w:cs="Arial"/>
                <w:b/>
                <w:bCs/>
                <w:sz w:val="16"/>
                <w:szCs w:val="16"/>
                <w:lang w:val="sq-AL" w:eastAsia="sq-AL"/>
              </w:rPr>
              <w:t>Buxheti total vjetor i Kuvendit</w:t>
            </w:r>
          </w:p>
        </w:tc>
        <w:tc>
          <w:tcPr>
            <w:tcW w:w="1960" w:type="dxa"/>
            <w:tcBorders>
              <w:top w:val="double" w:sz="6" w:space="0" w:color="auto"/>
              <w:left w:val="nil"/>
              <w:bottom w:val="double" w:sz="6" w:space="0" w:color="auto"/>
              <w:right w:val="double" w:sz="6" w:space="0" w:color="auto"/>
            </w:tcBorders>
            <w:shd w:val="clear" w:color="auto" w:fill="F2DCDB"/>
            <w:noWrap/>
            <w:vAlign w:val="bottom"/>
            <w:hideMark/>
          </w:tcPr>
          <w:p w:rsidR="00E24310" w:rsidRPr="00CC6A9A" w:rsidRDefault="00E24310" w:rsidP="008412C7">
            <w:pPr>
              <w:spacing w:after="0" w:line="240" w:lineRule="auto"/>
              <w:jc w:val="right"/>
              <w:rPr>
                <w:rFonts w:ascii="Arial" w:eastAsia="Times New Roman" w:hAnsi="Arial" w:cs="Arial"/>
                <w:b/>
                <w:bCs/>
                <w:sz w:val="24"/>
                <w:szCs w:val="24"/>
                <w:lang w:val="sq-AL" w:eastAsia="sq-AL"/>
              </w:rPr>
            </w:pPr>
            <w:r w:rsidRPr="00CC6A9A">
              <w:rPr>
                <w:rFonts w:ascii="Arial" w:eastAsia="Times New Roman" w:hAnsi="Arial" w:cs="Arial"/>
                <w:b/>
                <w:bCs/>
                <w:sz w:val="24"/>
                <w:szCs w:val="24"/>
                <w:lang w:val="sq-AL" w:eastAsia="sq-AL"/>
              </w:rPr>
              <w:t>1.193</w:t>
            </w:r>
          </w:p>
        </w:tc>
      </w:tr>
    </w:tbl>
    <w:p w:rsidR="00E24310" w:rsidRPr="00CC6A9A" w:rsidRDefault="00E24310" w:rsidP="00E24310">
      <w:pPr>
        <w:spacing w:line="240" w:lineRule="auto"/>
        <w:ind w:left="-142"/>
        <w:jc w:val="both"/>
        <w:rPr>
          <w:rFonts w:ascii="Times New Roman" w:hAnsi="Times New Roman" w:cs="Times New Roman"/>
          <w:sz w:val="24"/>
          <w:szCs w:val="24"/>
          <w:lang w:val="sq-AL"/>
        </w:rPr>
      </w:pPr>
    </w:p>
    <w:p w:rsidR="00E24310" w:rsidRPr="00CC6A9A" w:rsidRDefault="00E24310" w:rsidP="00606686">
      <w:pPr>
        <w:spacing w:line="240" w:lineRule="auto"/>
        <w:ind w:left="-142"/>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Gjatë vitit 2018, plani buxhetor ka ndryshuar me dy akte normative, në Korrik dhe Dhjetor 2018.</w:t>
      </w:r>
    </w:p>
    <w:p w:rsidR="00E24310" w:rsidRPr="00CC6A9A" w:rsidRDefault="00E24310" w:rsidP="00E24310">
      <w:pPr>
        <w:spacing w:line="240" w:lineRule="auto"/>
        <w:ind w:left="-142"/>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Tabela nr.2 paraqet planin buxhetor përfundimtar, sipas aktit normativ nr.2, dhjetor 2018 dhe realizimi i shpenzimeve faktike:</w:t>
      </w:r>
    </w:p>
    <w:p w:rsidR="00E24310" w:rsidRPr="00CC6A9A" w:rsidRDefault="00E24310" w:rsidP="00E24310">
      <w:pPr>
        <w:spacing w:line="240" w:lineRule="auto"/>
        <w:jc w:val="both"/>
        <w:rPr>
          <w:rFonts w:ascii="Times New Roman" w:hAnsi="Times New Roman" w:cs="Times New Roman"/>
          <w:sz w:val="24"/>
          <w:szCs w:val="24"/>
          <w:lang w:val="sq-AL"/>
        </w:rPr>
      </w:pPr>
    </w:p>
    <w:p w:rsidR="00E24310" w:rsidRPr="00CC6A9A" w:rsidRDefault="00E24310" w:rsidP="00E24310">
      <w:pPr>
        <w:spacing w:line="240" w:lineRule="auto"/>
        <w:ind w:left="-142"/>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Tabela nr.2</w:t>
      </w:r>
    </w:p>
    <w:tbl>
      <w:tblPr>
        <w:tblW w:w="9498" w:type="dxa"/>
        <w:tblInd w:w="-142" w:type="dxa"/>
        <w:tblLook w:val="04A0" w:firstRow="1" w:lastRow="0" w:firstColumn="1" w:lastColumn="0" w:noHBand="0" w:noVBand="1"/>
      </w:tblPr>
      <w:tblGrid>
        <w:gridCol w:w="2977"/>
        <w:gridCol w:w="756"/>
        <w:gridCol w:w="992"/>
        <w:gridCol w:w="851"/>
        <w:gridCol w:w="992"/>
        <w:gridCol w:w="876"/>
        <w:gridCol w:w="850"/>
        <w:gridCol w:w="1276"/>
      </w:tblGrid>
      <w:tr w:rsidR="00E24310" w:rsidRPr="00CC6A9A" w:rsidTr="008412C7">
        <w:trPr>
          <w:trHeight w:val="270"/>
        </w:trPr>
        <w:tc>
          <w:tcPr>
            <w:tcW w:w="2977" w:type="dxa"/>
            <w:noWrap/>
            <w:vAlign w:val="bottom"/>
            <w:hideMark/>
          </w:tcPr>
          <w:p w:rsidR="00E24310" w:rsidRPr="00CC6A9A" w:rsidRDefault="00E24310" w:rsidP="008412C7">
            <w:pPr>
              <w:rPr>
                <w:rFonts w:ascii="Times New Roman" w:hAnsi="Times New Roman" w:cs="Times New Roman"/>
                <w:sz w:val="24"/>
                <w:szCs w:val="24"/>
                <w:lang w:val="sq-AL"/>
              </w:rPr>
            </w:pPr>
          </w:p>
        </w:tc>
        <w:tc>
          <w:tcPr>
            <w:tcW w:w="709" w:type="dxa"/>
            <w:noWrap/>
            <w:vAlign w:val="bottom"/>
            <w:hideMark/>
          </w:tcPr>
          <w:p w:rsidR="00E24310" w:rsidRPr="00CC6A9A" w:rsidRDefault="00E24310" w:rsidP="008412C7">
            <w:pPr>
              <w:rPr>
                <w:sz w:val="20"/>
                <w:szCs w:val="20"/>
                <w:lang w:val="sq-AL" w:eastAsia="en-US"/>
              </w:rPr>
            </w:pPr>
          </w:p>
        </w:tc>
        <w:tc>
          <w:tcPr>
            <w:tcW w:w="992" w:type="dxa"/>
            <w:noWrap/>
            <w:vAlign w:val="bottom"/>
            <w:hideMark/>
          </w:tcPr>
          <w:p w:rsidR="00E24310" w:rsidRPr="00CC6A9A" w:rsidRDefault="00E24310" w:rsidP="008412C7">
            <w:pPr>
              <w:rPr>
                <w:sz w:val="20"/>
                <w:szCs w:val="20"/>
                <w:lang w:val="sq-AL" w:eastAsia="en-US"/>
              </w:rPr>
            </w:pPr>
          </w:p>
        </w:tc>
        <w:tc>
          <w:tcPr>
            <w:tcW w:w="851" w:type="dxa"/>
            <w:noWrap/>
            <w:vAlign w:val="bottom"/>
            <w:hideMark/>
          </w:tcPr>
          <w:p w:rsidR="00E24310" w:rsidRPr="00CC6A9A" w:rsidRDefault="00E24310" w:rsidP="008412C7">
            <w:pPr>
              <w:rPr>
                <w:sz w:val="20"/>
                <w:szCs w:val="20"/>
                <w:lang w:val="sq-AL" w:eastAsia="en-US"/>
              </w:rPr>
            </w:pPr>
          </w:p>
        </w:tc>
        <w:tc>
          <w:tcPr>
            <w:tcW w:w="992" w:type="dxa"/>
            <w:noWrap/>
            <w:vAlign w:val="bottom"/>
            <w:hideMark/>
          </w:tcPr>
          <w:p w:rsidR="00E24310" w:rsidRPr="00CC6A9A" w:rsidRDefault="00E24310" w:rsidP="008412C7">
            <w:pPr>
              <w:rPr>
                <w:sz w:val="20"/>
                <w:szCs w:val="20"/>
                <w:lang w:val="sq-AL" w:eastAsia="en-US"/>
              </w:rPr>
            </w:pPr>
          </w:p>
        </w:tc>
        <w:tc>
          <w:tcPr>
            <w:tcW w:w="1701" w:type="dxa"/>
            <w:gridSpan w:val="2"/>
            <w:noWrap/>
            <w:vAlign w:val="bottom"/>
            <w:hideMark/>
          </w:tcPr>
          <w:p w:rsidR="00E24310" w:rsidRPr="00CC6A9A" w:rsidRDefault="00E24310" w:rsidP="008412C7">
            <w:pPr>
              <w:spacing w:after="0" w:line="240" w:lineRule="auto"/>
              <w:jc w:val="center"/>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 xml:space="preserve">     në mln lekë</w:t>
            </w:r>
          </w:p>
        </w:tc>
        <w:tc>
          <w:tcPr>
            <w:tcW w:w="1276" w:type="dxa"/>
            <w:noWrap/>
            <w:vAlign w:val="bottom"/>
            <w:hideMark/>
          </w:tcPr>
          <w:p w:rsidR="00E24310" w:rsidRPr="00CC6A9A" w:rsidRDefault="00E24310" w:rsidP="008412C7">
            <w:pPr>
              <w:rPr>
                <w:rFonts w:ascii="Times New Roman" w:eastAsia="Times New Roman" w:hAnsi="Times New Roman" w:cs="Times New Roman"/>
                <w:sz w:val="24"/>
                <w:szCs w:val="24"/>
                <w:lang w:val="sq-AL" w:eastAsia="sq-AL"/>
              </w:rPr>
            </w:pPr>
          </w:p>
        </w:tc>
      </w:tr>
      <w:tr w:rsidR="00E24310" w:rsidRPr="00CC6A9A" w:rsidTr="008412C7">
        <w:trPr>
          <w:trHeight w:val="270"/>
        </w:trPr>
        <w:tc>
          <w:tcPr>
            <w:tcW w:w="2977" w:type="dxa"/>
            <w:tcBorders>
              <w:top w:val="double" w:sz="6" w:space="0" w:color="auto"/>
              <w:left w:val="double" w:sz="6" w:space="0" w:color="auto"/>
              <w:bottom w:val="nil"/>
              <w:right w:val="single" w:sz="4"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Zerat buxhetore</w:t>
            </w:r>
          </w:p>
        </w:tc>
        <w:tc>
          <w:tcPr>
            <w:tcW w:w="1701" w:type="dxa"/>
            <w:gridSpan w:val="2"/>
            <w:tcBorders>
              <w:top w:val="double" w:sz="6" w:space="0" w:color="auto"/>
              <w:left w:val="nil"/>
              <w:bottom w:val="single" w:sz="4" w:space="0" w:color="auto"/>
              <w:right w:val="single" w:sz="4" w:space="0" w:color="auto"/>
            </w:tcBorders>
            <w:shd w:val="clear" w:color="auto" w:fill="F2DCDB"/>
            <w:noWrap/>
            <w:vAlign w:val="bottom"/>
            <w:hideMark/>
          </w:tcPr>
          <w:p w:rsidR="00E24310" w:rsidRPr="00CC6A9A" w:rsidRDefault="00E24310" w:rsidP="008412C7">
            <w:pPr>
              <w:spacing w:after="0" w:line="240" w:lineRule="auto"/>
              <w:jc w:val="center"/>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 xml:space="preserve">Programi Legjislativ </w:t>
            </w:r>
          </w:p>
        </w:tc>
        <w:tc>
          <w:tcPr>
            <w:tcW w:w="1843" w:type="dxa"/>
            <w:gridSpan w:val="2"/>
            <w:tcBorders>
              <w:top w:val="double" w:sz="6" w:space="0" w:color="auto"/>
              <w:left w:val="nil"/>
              <w:bottom w:val="single" w:sz="4" w:space="0" w:color="auto"/>
              <w:right w:val="single" w:sz="4" w:space="0" w:color="auto"/>
            </w:tcBorders>
            <w:shd w:val="clear" w:color="auto" w:fill="F2DCDB"/>
            <w:noWrap/>
            <w:vAlign w:val="bottom"/>
            <w:hideMark/>
          </w:tcPr>
          <w:p w:rsidR="00E24310" w:rsidRPr="00CC6A9A" w:rsidRDefault="00E24310" w:rsidP="008412C7">
            <w:pPr>
              <w:spacing w:after="0" w:line="240" w:lineRule="auto"/>
              <w:jc w:val="center"/>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Programi administrativ</w:t>
            </w:r>
          </w:p>
        </w:tc>
        <w:tc>
          <w:tcPr>
            <w:tcW w:w="1701" w:type="dxa"/>
            <w:gridSpan w:val="2"/>
            <w:tcBorders>
              <w:top w:val="double" w:sz="6" w:space="0" w:color="auto"/>
              <w:left w:val="nil"/>
              <w:bottom w:val="single" w:sz="4" w:space="0" w:color="auto"/>
              <w:right w:val="single" w:sz="4" w:space="0" w:color="auto"/>
            </w:tcBorders>
            <w:shd w:val="clear" w:color="auto" w:fill="F2DCDB"/>
            <w:noWrap/>
            <w:vAlign w:val="bottom"/>
            <w:hideMark/>
          </w:tcPr>
          <w:p w:rsidR="00E24310" w:rsidRPr="00CC6A9A" w:rsidRDefault="00E24310" w:rsidP="008412C7">
            <w:pPr>
              <w:spacing w:after="0" w:line="240" w:lineRule="auto"/>
              <w:jc w:val="center"/>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Buxheti total</w:t>
            </w:r>
          </w:p>
        </w:tc>
        <w:tc>
          <w:tcPr>
            <w:tcW w:w="1276" w:type="dxa"/>
            <w:tcBorders>
              <w:top w:val="double" w:sz="6" w:space="0" w:color="auto"/>
              <w:left w:val="nil"/>
              <w:bottom w:val="single" w:sz="4" w:space="0" w:color="auto"/>
              <w:right w:val="double" w:sz="6"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 realizimit</w:t>
            </w:r>
          </w:p>
        </w:tc>
      </w:tr>
      <w:tr w:rsidR="00E24310" w:rsidRPr="00CC6A9A" w:rsidTr="008412C7">
        <w:trPr>
          <w:trHeight w:val="270"/>
        </w:trPr>
        <w:tc>
          <w:tcPr>
            <w:tcW w:w="2977" w:type="dxa"/>
            <w:tcBorders>
              <w:top w:val="nil"/>
              <w:left w:val="double" w:sz="6" w:space="0" w:color="auto"/>
              <w:bottom w:val="double" w:sz="6" w:space="0" w:color="auto"/>
              <w:right w:val="single" w:sz="4"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 </w:t>
            </w:r>
          </w:p>
        </w:tc>
        <w:tc>
          <w:tcPr>
            <w:tcW w:w="709" w:type="dxa"/>
            <w:tcBorders>
              <w:top w:val="nil"/>
              <w:left w:val="nil"/>
              <w:bottom w:val="double" w:sz="6" w:space="0" w:color="auto"/>
              <w:right w:val="single" w:sz="4"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Plan</w:t>
            </w:r>
          </w:p>
        </w:tc>
        <w:tc>
          <w:tcPr>
            <w:tcW w:w="992" w:type="dxa"/>
            <w:tcBorders>
              <w:top w:val="nil"/>
              <w:left w:val="nil"/>
              <w:bottom w:val="double" w:sz="6" w:space="0" w:color="auto"/>
              <w:right w:val="single" w:sz="4"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Fakt</w:t>
            </w:r>
          </w:p>
        </w:tc>
        <w:tc>
          <w:tcPr>
            <w:tcW w:w="851" w:type="dxa"/>
            <w:tcBorders>
              <w:top w:val="nil"/>
              <w:left w:val="nil"/>
              <w:bottom w:val="double" w:sz="6" w:space="0" w:color="auto"/>
              <w:right w:val="single" w:sz="4"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Plan</w:t>
            </w:r>
          </w:p>
        </w:tc>
        <w:tc>
          <w:tcPr>
            <w:tcW w:w="992" w:type="dxa"/>
            <w:tcBorders>
              <w:top w:val="nil"/>
              <w:left w:val="nil"/>
              <w:bottom w:val="double" w:sz="6" w:space="0" w:color="auto"/>
              <w:right w:val="single" w:sz="4"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Fakt</w:t>
            </w:r>
          </w:p>
        </w:tc>
        <w:tc>
          <w:tcPr>
            <w:tcW w:w="851" w:type="dxa"/>
            <w:tcBorders>
              <w:top w:val="nil"/>
              <w:left w:val="nil"/>
              <w:bottom w:val="double" w:sz="6" w:space="0" w:color="auto"/>
              <w:right w:val="single" w:sz="4"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Plan</w:t>
            </w:r>
          </w:p>
        </w:tc>
        <w:tc>
          <w:tcPr>
            <w:tcW w:w="850" w:type="dxa"/>
            <w:tcBorders>
              <w:top w:val="nil"/>
              <w:left w:val="nil"/>
              <w:bottom w:val="double" w:sz="6" w:space="0" w:color="auto"/>
              <w:right w:val="single" w:sz="4"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Fakt</w:t>
            </w:r>
          </w:p>
        </w:tc>
        <w:tc>
          <w:tcPr>
            <w:tcW w:w="1276" w:type="dxa"/>
            <w:tcBorders>
              <w:top w:val="nil"/>
              <w:left w:val="nil"/>
              <w:bottom w:val="double" w:sz="6" w:space="0" w:color="auto"/>
              <w:right w:val="double" w:sz="6"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i/>
                <w:iCs/>
                <w:sz w:val="24"/>
                <w:szCs w:val="24"/>
                <w:lang w:val="sq-AL" w:eastAsia="sq-AL"/>
              </w:rPr>
            </w:pPr>
            <w:r w:rsidRPr="00CC6A9A">
              <w:rPr>
                <w:rFonts w:ascii="Times New Roman" w:eastAsia="Times New Roman" w:hAnsi="Times New Roman" w:cs="Times New Roman"/>
                <w:b/>
                <w:bCs/>
                <w:i/>
                <w:iCs/>
                <w:sz w:val="24"/>
                <w:szCs w:val="24"/>
                <w:lang w:val="sq-AL" w:eastAsia="sq-AL"/>
              </w:rPr>
              <w:t> </w:t>
            </w:r>
          </w:p>
        </w:tc>
      </w:tr>
      <w:tr w:rsidR="00E24310" w:rsidRPr="00CC6A9A" w:rsidTr="008412C7">
        <w:trPr>
          <w:trHeight w:val="270"/>
        </w:trPr>
        <w:tc>
          <w:tcPr>
            <w:tcW w:w="2977" w:type="dxa"/>
            <w:tcBorders>
              <w:top w:val="nil"/>
              <w:left w:val="double" w:sz="6" w:space="0" w:color="auto"/>
              <w:bottom w:val="single" w:sz="4" w:space="0" w:color="auto"/>
              <w:right w:val="dotted" w:sz="4" w:space="0" w:color="auto"/>
            </w:tcBorders>
            <w:noWrap/>
            <w:vAlign w:val="bottom"/>
            <w:hideMark/>
          </w:tcPr>
          <w:p w:rsidR="00E24310" w:rsidRPr="00CC6A9A" w:rsidRDefault="00E24310" w:rsidP="008412C7">
            <w:pPr>
              <w:spacing w:after="0" w:line="240" w:lineRule="auto"/>
              <w:jc w:val="center"/>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A</w:t>
            </w:r>
          </w:p>
        </w:tc>
        <w:tc>
          <w:tcPr>
            <w:tcW w:w="709" w:type="dxa"/>
            <w:tcBorders>
              <w:top w:val="nil"/>
              <w:left w:val="nil"/>
              <w:bottom w:val="single"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1</w:t>
            </w:r>
          </w:p>
        </w:tc>
        <w:tc>
          <w:tcPr>
            <w:tcW w:w="992" w:type="dxa"/>
            <w:tcBorders>
              <w:top w:val="nil"/>
              <w:left w:val="nil"/>
              <w:bottom w:val="single"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2</w:t>
            </w:r>
          </w:p>
        </w:tc>
        <w:tc>
          <w:tcPr>
            <w:tcW w:w="851" w:type="dxa"/>
            <w:tcBorders>
              <w:top w:val="nil"/>
              <w:left w:val="nil"/>
              <w:bottom w:val="single"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3</w:t>
            </w:r>
          </w:p>
        </w:tc>
        <w:tc>
          <w:tcPr>
            <w:tcW w:w="992" w:type="dxa"/>
            <w:tcBorders>
              <w:top w:val="nil"/>
              <w:left w:val="nil"/>
              <w:bottom w:val="single"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4</w:t>
            </w:r>
          </w:p>
        </w:tc>
        <w:tc>
          <w:tcPr>
            <w:tcW w:w="851" w:type="dxa"/>
            <w:tcBorders>
              <w:top w:val="nil"/>
              <w:left w:val="nil"/>
              <w:bottom w:val="single"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5=1+3</w:t>
            </w:r>
          </w:p>
        </w:tc>
        <w:tc>
          <w:tcPr>
            <w:tcW w:w="850" w:type="dxa"/>
            <w:tcBorders>
              <w:top w:val="nil"/>
              <w:left w:val="nil"/>
              <w:bottom w:val="single"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6=2+4</w:t>
            </w:r>
          </w:p>
        </w:tc>
        <w:tc>
          <w:tcPr>
            <w:tcW w:w="1276" w:type="dxa"/>
            <w:tcBorders>
              <w:top w:val="nil"/>
              <w:left w:val="nil"/>
              <w:bottom w:val="single" w:sz="4" w:space="0" w:color="auto"/>
              <w:right w:val="double" w:sz="6" w:space="0" w:color="auto"/>
            </w:tcBorders>
            <w:noWrap/>
            <w:vAlign w:val="bottom"/>
            <w:hideMark/>
          </w:tcPr>
          <w:p w:rsidR="00E24310" w:rsidRPr="00CC6A9A" w:rsidRDefault="00E24310" w:rsidP="008412C7">
            <w:pPr>
              <w:spacing w:after="0" w:line="240" w:lineRule="auto"/>
              <w:jc w:val="center"/>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7=6/5</w:t>
            </w:r>
          </w:p>
        </w:tc>
      </w:tr>
      <w:tr w:rsidR="00E24310" w:rsidRPr="00CC6A9A" w:rsidTr="008412C7">
        <w:trPr>
          <w:trHeight w:val="255"/>
        </w:trPr>
        <w:tc>
          <w:tcPr>
            <w:tcW w:w="2977" w:type="dxa"/>
            <w:tcBorders>
              <w:top w:val="nil"/>
              <w:left w:val="double" w:sz="6" w:space="0" w:color="auto"/>
              <w:bottom w:val="dotted" w:sz="4" w:space="0" w:color="auto"/>
              <w:right w:val="dotted"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Shpenzime për paga</w:t>
            </w:r>
          </w:p>
        </w:tc>
        <w:tc>
          <w:tcPr>
            <w:tcW w:w="709"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276</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275,4</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184,2</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184.2</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460,2</w:t>
            </w:r>
          </w:p>
        </w:tc>
        <w:tc>
          <w:tcPr>
            <w:tcW w:w="850"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459.6</w:t>
            </w:r>
          </w:p>
        </w:tc>
        <w:tc>
          <w:tcPr>
            <w:tcW w:w="1276" w:type="dxa"/>
            <w:tcBorders>
              <w:top w:val="nil"/>
              <w:left w:val="nil"/>
              <w:bottom w:val="dotted" w:sz="4" w:space="0" w:color="auto"/>
              <w:right w:val="double" w:sz="6"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99,8%</w:t>
            </w:r>
          </w:p>
        </w:tc>
      </w:tr>
      <w:tr w:rsidR="00E24310" w:rsidRPr="00CC6A9A" w:rsidTr="008412C7">
        <w:trPr>
          <w:trHeight w:val="255"/>
        </w:trPr>
        <w:tc>
          <w:tcPr>
            <w:tcW w:w="2977" w:type="dxa"/>
            <w:tcBorders>
              <w:top w:val="nil"/>
              <w:left w:val="double" w:sz="6" w:space="0" w:color="auto"/>
              <w:bottom w:val="dotted" w:sz="4" w:space="0" w:color="auto"/>
              <w:right w:val="dotted"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shpenzime për kontribute të sigurimeve</w:t>
            </w:r>
          </w:p>
        </w:tc>
        <w:tc>
          <w:tcPr>
            <w:tcW w:w="709"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34</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33,2</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31</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29,7</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65</w:t>
            </w:r>
          </w:p>
        </w:tc>
        <w:tc>
          <w:tcPr>
            <w:tcW w:w="850"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62,9</w:t>
            </w:r>
          </w:p>
        </w:tc>
        <w:tc>
          <w:tcPr>
            <w:tcW w:w="1276" w:type="dxa"/>
            <w:tcBorders>
              <w:top w:val="nil"/>
              <w:left w:val="nil"/>
              <w:bottom w:val="dotted" w:sz="4" w:space="0" w:color="auto"/>
              <w:right w:val="double" w:sz="6"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96,8%</w:t>
            </w:r>
          </w:p>
        </w:tc>
      </w:tr>
      <w:tr w:rsidR="00E24310" w:rsidRPr="00CC6A9A" w:rsidTr="008412C7">
        <w:trPr>
          <w:trHeight w:val="255"/>
        </w:trPr>
        <w:tc>
          <w:tcPr>
            <w:tcW w:w="2977" w:type="dxa"/>
            <w:tcBorders>
              <w:top w:val="nil"/>
              <w:left w:val="double" w:sz="6" w:space="0" w:color="auto"/>
              <w:bottom w:val="dotted" w:sz="4" w:space="0" w:color="auto"/>
              <w:right w:val="dotted"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lastRenderedPageBreak/>
              <w:t xml:space="preserve">shpenzime operative për funksionim </w:t>
            </w:r>
          </w:p>
        </w:tc>
        <w:tc>
          <w:tcPr>
            <w:tcW w:w="709"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275</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247,3</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119,2</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84.4</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394,2</w:t>
            </w:r>
          </w:p>
        </w:tc>
        <w:tc>
          <w:tcPr>
            <w:tcW w:w="850"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331,7</w:t>
            </w:r>
          </w:p>
        </w:tc>
        <w:tc>
          <w:tcPr>
            <w:tcW w:w="1276" w:type="dxa"/>
            <w:tcBorders>
              <w:top w:val="nil"/>
              <w:left w:val="nil"/>
              <w:bottom w:val="dotted" w:sz="4" w:space="0" w:color="auto"/>
              <w:right w:val="double" w:sz="6"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84.1%</w:t>
            </w:r>
          </w:p>
        </w:tc>
      </w:tr>
      <w:tr w:rsidR="00E24310" w:rsidRPr="00CC6A9A" w:rsidTr="008412C7">
        <w:trPr>
          <w:trHeight w:val="255"/>
        </w:trPr>
        <w:tc>
          <w:tcPr>
            <w:tcW w:w="2977" w:type="dxa"/>
            <w:tcBorders>
              <w:top w:val="nil"/>
              <w:left w:val="double" w:sz="6" w:space="0" w:color="auto"/>
              <w:bottom w:val="dotted" w:sz="4" w:space="0" w:color="auto"/>
              <w:right w:val="dotted"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shpenzime për kuotat parlamentare</w:t>
            </w:r>
          </w:p>
        </w:tc>
        <w:tc>
          <w:tcPr>
            <w:tcW w:w="709"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14,8</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13,2</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0</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0</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14,8</w:t>
            </w:r>
          </w:p>
        </w:tc>
        <w:tc>
          <w:tcPr>
            <w:tcW w:w="850"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13,2</w:t>
            </w:r>
          </w:p>
        </w:tc>
        <w:tc>
          <w:tcPr>
            <w:tcW w:w="1276" w:type="dxa"/>
            <w:tcBorders>
              <w:top w:val="nil"/>
              <w:left w:val="nil"/>
              <w:bottom w:val="dotted" w:sz="4" w:space="0" w:color="auto"/>
              <w:right w:val="double" w:sz="6"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89,2%</w:t>
            </w:r>
          </w:p>
        </w:tc>
      </w:tr>
      <w:tr w:rsidR="00E24310" w:rsidRPr="00CC6A9A" w:rsidTr="008412C7">
        <w:trPr>
          <w:trHeight w:val="255"/>
        </w:trPr>
        <w:tc>
          <w:tcPr>
            <w:tcW w:w="2977" w:type="dxa"/>
            <w:tcBorders>
              <w:top w:val="nil"/>
              <w:left w:val="double" w:sz="6" w:space="0" w:color="auto"/>
              <w:bottom w:val="dotted" w:sz="4" w:space="0" w:color="auto"/>
              <w:right w:val="dotted"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b/>
                <w:sz w:val="24"/>
                <w:szCs w:val="24"/>
                <w:lang w:val="sq-AL" w:eastAsia="sq-AL"/>
              </w:rPr>
            </w:pPr>
            <w:r w:rsidRPr="00CC6A9A">
              <w:rPr>
                <w:rFonts w:ascii="Times New Roman" w:eastAsia="Times New Roman" w:hAnsi="Times New Roman" w:cs="Times New Roman"/>
                <w:sz w:val="24"/>
                <w:szCs w:val="24"/>
                <w:lang w:val="sq-AL" w:eastAsia="sq-AL"/>
              </w:rPr>
              <w:t>shpenzime kapitale nga buxheti shtetit</w:t>
            </w:r>
          </w:p>
        </w:tc>
        <w:tc>
          <w:tcPr>
            <w:tcW w:w="709"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0</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0</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102</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81.9</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102</w:t>
            </w:r>
          </w:p>
        </w:tc>
        <w:tc>
          <w:tcPr>
            <w:tcW w:w="850"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81.9</w:t>
            </w:r>
          </w:p>
        </w:tc>
        <w:tc>
          <w:tcPr>
            <w:tcW w:w="1276" w:type="dxa"/>
            <w:tcBorders>
              <w:top w:val="nil"/>
              <w:left w:val="nil"/>
              <w:bottom w:val="dotted" w:sz="4" w:space="0" w:color="auto"/>
              <w:right w:val="double" w:sz="6"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80.3%</w:t>
            </w:r>
          </w:p>
        </w:tc>
      </w:tr>
      <w:tr w:rsidR="00E24310" w:rsidRPr="00CC6A9A" w:rsidTr="008412C7">
        <w:trPr>
          <w:trHeight w:val="255"/>
        </w:trPr>
        <w:tc>
          <w:tcPr>
            <w:tcW w:w="2977" w:type="dxa"/>
            <w:tcBorders>
              <w:top w:val="nil"/>
              <w:left w:val="double" w:sz="6" w:space="0" w:color="auto"/>
              <w:bottom w:val="dotted" w:sz="4" w:space="0" w:color="auto"/>
              <w:right w:val="dotted"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shpenzime kapitale me financim të huaj</w:t>
            </w:r>
          </w:p>
        </w:tc>
        <w:tc>
          <w:tcPr>
            <w:tcW w:w="709"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0</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0</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25</w:t>
            </w:r>
          </w:p>
        </w:tc>
        <w:tc>
          <w:tcPr>
            <w:tcW w:w="992"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22.9</w:t>
            </w:r>
          </w:p>
        </w:tc>
        <w:tc>
          <w:tcPr>
            <w:tcW w:w="851"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25</w:t>
            </w:r>
          </w:p>
        </w:tc>
        <w:tc>
          <w:tcPr>
            <w:tcW w:w="850" w:type="dxa"/>
            <w:tcBorders>
              <w:top w:val="nil"/>
              <w:left w:val="nil"/>
              <w:bottom w:val="dotted" w:sz="4" w:space="0" w:color="auto"/>
              <w:right w:val="dotted" w:sz="4"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22.9</w:t>
            </w:r>
          </w:p>
        </w:tc>
        <w:tc>
          <w:tcPr>
            <w:tcW w:w="1276" w:type="dxa"/>
            <w:tcBorders>
              <w:top w:val="nil"/>
              <w:left w:val="nil"/>
              <w:bottom w:val="dotted" w:sz="4" w:space="0" w:color="auto"/>
              <w:right w:val="double" w:sz="6" w:space="0" w:color="auto"/>
            </w:tcBorders>
            <w:noWrap/>
            <w:vAlign w:val="bottom"/>
            <w:hideMark/>
          </w:tcPr>
          <w:p w:rsidR="00E24310" w:rsidRPr="00CC6A9A" w:rsidRDefault="00E24310" w:rsidP="008412C7">
            <w:pPr>
              <w:spacing w:after="0" w:line="240" w:lineRule="auto"/>
              <w:jc w:val="right"/>
              <w:rPr>
                <w:rFonts w:ascii="Times New Roman" w:eastAsia="Times New Roman" w:hAnsi="Times New Roman" w:cs="Times New Roman"/>
                <w:sz w:val="24"/>
                <w:szCs w:val="24"/>
                <w:lang w:val="sq-AL" w:eastAsia="sq-AL"/>
              </w:rPr>
            </w:pPr>
            <w:r w:rsidRPr="00CC6A9A">
              <w:rPr>
                <w:rFonts w:ascii="Times New Roman" w:eastAsia="Times New Roman" w:hAnsi="Times New Roman" w:cs="Times New Roman"/>
                <w:sz w:val="24"/>
                <w:szCs w:val="24"/>
                <w:lang w:val="sq-AL" w:eastAsia="sq-AL"/>
              </w:rPr>
              <w:t>92%</w:t>
            </w:r>
          </w:p>
        </w:tc>
      </w:tr>
      <w:tr w:rsidR="00E24310" w:rsidRPr="00CC6A9A" w:rsidTr="008412C7">
        <w:trPr>
          <w:trHeight w:val="269"/>
        </w:trPr>
        <w:tc>
          <w:tcPr>
            <w:tcW w:w="2977" w:type="dxa"/>
            <w:tcBorders>
              <w:top w:val="nil"/>
              <w:left w:val="double" w:sz="6" w:space="0" w:color="auto"/>
              <w:bottom w:val="double" w:sz="6" w:space="0" w:color="auto"/>
              <w:right w:val="dotted" w:sz="4" w:space="0" w:color="auto"/>
            </w:tcBorders>
            <w:shd w:val="clear" w:color="auto" w:fill="F2DCDB"/>
            <w:noWrap/>
            <w:vAlign w:val="bottom"/>
            <w:hideMark/>
          </w:tcPr>
          <w:p w:rsidR="00E24310" w:rsidRPr="00CC6A9A" w:rsidRDefault="00E24310" w:rsidP="008412C7">
            <w:pPr>
              <w:spacing w:after="0" w:line="240" w:lineRule="auto"/>
              <w:rPr>
                <w:rFonts w:ascii="Times New Roman" w:eastAsia="Times New Roman" w:hAnsi="Times New Roman" w:cs="Times New Roman"/>
                <w:b/>
                <w:bCs/>
                <w:sz w:val="24"/>
                <w:szCs w:val="24"/>
                <w:lang w:val="sq-AL" w:eastAsia="sq-AL"/>
              </w:rPr>
            </w:pPr>
            <w:r w:rsidRPr="00CC6A9A">
              <w:rPr>
                <w:rFonts w:ascii="Times New Roman" w:eastAsia="Times New Roman" w:hAnsi="Times New Roman" w:cs="Times New Roman"/>
                <w:b/>
                <w:bCs/>
                <w:sz w:val="24"/>
                <w:szCs w:val="24"/>
                <w:lang w:val="sq-AL" w:eastAsia="sq-AL"/>
              </w:rPr>
              <w:t> </w:t>
            </w:r>
          </w:p>
        </w:tc>
        <w:tc>
          <w:tcPr>
            <w:tcW w:w="709" w:type="dxa"/>
            <w:tcBorders>
              <w:top w:val="nil"/>
              <w:left w:val="nil"/>
              <w:bottom w:val="double" w:sz="6" w:space="0" w:color="auto"/>
              <w:right w:val="dotted" w:sz="4" w:space="0" w:color="auto"/>
            </w:tcBorders>
            <w:shd w:val="clear" w:color="auto" w:fill="F2DCDB"/>
            <w:noWrap/>
            <w:vAlign w:val="bottom"/>
            <w:hideMark/>
          </w:tcPr>
          <w:p w:rsidR="00E24310" w:rsidRPr="00CC6A9A" w:rsidRDefault="00E24310" w:rsidP="008412C7">
            <w:pPr>
              <w:spacing w:after="0" w:line="240" w:lineRule="auto"/>
              <w:jc w:val="right"/>
              <w:rPr>
                <w:rFonts w:ascii="Times New Roman" w:eastAsia="Times New Roman" w:hAnsi="Times New Roman" w:cs="Times New Roman"/>
                <w:b/>
                <w:bCs/>
                <w:sz w:val="24"/>
                <w:szCs w:val="24"/>
                <w:lang w:val="sq-AL" w:eastAsia="sq-AL"/>
              </w:rPr>
            </w:pPr>
            <w:r w:rsidRPr="00CC6A9A">
              <w:rPr>
                <w:rFonts w:ascii="Times New Roman" w:eastAsia="Times New Roman" w:hAnsi="Times New Roman" w:cs="Times New Roman"/>
                <w:b/>
                <w:bCs/>
                <w:sz w:val="24"/>
                <w:szCs w:val="24"/>
                <w:lang w:val="sq-AL" w:eastAsia="sq-AL"/>
              </w:rPr>
              <w:t>599,8</w:t>
            </w:r>
          </w:p>
        </w:tc>
        <w:tc>
          <w:tcPr>
            <w:tcW w:w="992" w:type="dxa"/>
            <w:tcBorders>
              <w:top w:val="nil"/>
              <w:left w:val="nil"/>
              <w:bottom w:val="double" w:sz="6" w:space="0" w:color="auto"/>
              <w:right w:val="dotted" w:sz="4" w:space="0" w:color="auto"/>
            </w:tcBorders>
            <w:shd w:val="clear" w:color="auto" w:fill="F2DCDB"/>
            <w:noWrap/>
            <w:vAlign w:val="bottom"/>
            <w:hideMark/>
          </w:tcPr>
          <w:p w:rsidR="00E24310" w:rsidRPr="00CC6A9A" w:rsidRDefault="00E24310" w:rsidP="008412C7">
            <w:pPr>
              <w:spacing w:after="0" w:line="240" w:lineRule="auto"/>
              <w:jc w:val="right"/>
              <w:rPr>
                <w:rFonts w:ascii="Times New Roman" w:eastAsia="Times New Roman" w:hAnsi="Times New Roman" w:cs="Times New Roman"/>
                <w:b/>
                <w:bCs/>
                <w:sz w:val="24"/>
                <w:szCs w:val="24"/>
                <w:lang w:val="sq-AL" w:eastAsia="sq-AL"/>
              </w:rPr>
            </w:pPr>
            <w:r w:rsidRPr="00CC6A9A">
              <w:rPr>
                <w:rFonts w:ascii="Times New Roman" w:eastAsia="Times New Roman" w:hAnsi="Times New Roman" w:cs="Times New Roman"/>
                <w:b/>
                <w:bCs/>
                <w:sz w:val="24"/>
                <w:szCs w:val="24"/>
                <w:lang w:val="sq-AL" w:eastAsia="sq-AL"/>
              </w:rPr>
              <w:t>569,1</w:t>
            </w:r>
          </w:p>
        </w:tc>
        <w:tc>
          <w:tcPr>
            <w:tcW w:w="851" w:type="dxa"/>
            <w:tcBorders>
              <w:top w:val="nil"/>
              <w:left w:val="nil"/>
              <w:bottom w:val="double" w:sz="6" w:space="0" w:color="auto"/>
              <w:right w:val="dotted" w:sz="4" w:space="0" w:color="auto"/>
            </w:tcBorders>
            <w:shd w:val="clear" w:color="auto" w:fill="F2DCDB"/>
            <w:noWrap/>
            <w:vAlign w:val="bottom"/>
            <w:hideMark/>
          </w:tcPr>
          <w:p w:rsidR="00E24310" w:rsidRPr="00CC6A9A" w:rsidRDefault="00E24310" w:rsidP="008412C7">
            <w:pPr>
              <w:spacing w:after="0" w:line="240" w:lineRule="auto"/>
              <w:jc w:val="right"/>
              <w:rPr>
                <w:rFonts w:ascii="Times New Roman" w:eastAsia="Times New Roman" w:hAnsi="Times New Roman" w:cs="Times New Roman"/>
                <w:b/>
                <w:bCs/>
                <w:sz w:val="24"/>
                <w:szCs w:val="24"/>
                <w:lang w:val="sq-AL" w:eastAsia="sq-AL"/>
              </w:rPr>
            </w:pPr>
            <w:r w:rsidRPr="00CC6A9A">
              <w:rPr>
                <w:rFonts w:ascii="Times New Roman" w:eastAsia="Times New Roman" w:hAnsi="Times New Roman" w:cs="Times New Roman"/>
                <w:b/>
                <w:bCs/>
                <w:sz w:val="24"/>
                <w:szCs w:val="24"/>
                <w:lang w:val="sq-AL" w:eastAsia="sq-AL"/>
              </w:rPr>
              <w:t>461,4</w:t>
            </w:r>
          </w:p>
        </w:tc>
        <w:tc>
          <w:tcPr>
            <w:tcW w:w="992" w:type="dxa"/>
            <w:tcBorders>
              <w:top w:val="nil"/>
              <w:left w:val="nil"/>
              <w:bottom w:val="double" w:sz="6" w:space="0" w:color="auto"/>
              <w:right w:val="dotted" w:sz="4" w:space="0" w:color="auto"/>
            </w:tcBorders>
            <w:shd w:val="clear" w:color="auto" w:fill="F2DCDB"/>
            <w:noWrap/>
            <w:vAlign w:val="bottom"/>
            <w:hideMark/>
          </w:tcPr>
          <w:p w:rsidR="00E24310" w:rsidRPr="00CC6A9A" w:rsidRDefault="00E24310" w:rsidP="008412C7">
            <w:pPr>
              <w:spacing w:after="0" w:line="240" w:lineRule="auto"/>
              <w:jc w:val="right"/>
              <w:rPr>
                <w:rFonts w:ascii="Times New Roman" w:eastAsia="Times New Roman" w:hAnsi="Times New Roman" w:cs="Times New Roman"/>
                <w:b/>
                <w:bCs/>
                <w:sz w:val="24"/>
                <w:szCs w:val="24"/>
                <w:lang w:val="sq-AL" w:eastAsia="sq-AL"/>
              </w:rPr>
            </w:pPr>
            <w:r w:rsidRPr="00CC6A9A">
              <w:rPr>
                <w:rFonts w:ascii="Times New Roman" w:eastAsia="Times New Roman" w:hAnsi="Times New Roman" w:cs="Times New Roman"/>
                <w:b/>
                <w:bCs/>
                <w:sz w:val="24"/>
                <w:szCs w:val="24"/>
                <w:lang w:val="sq-AL" w:eastAsia="sq-AL"/>
              </w:rPr>
              <w:t>403.1</w:t>
            </w:r>
          </w:p>
        </w:tc>
        <w:tc>
          <w:tcPr>
            <w:tcW w:w="851" w:type="dxa"/>
            <w:tcBorders>
              <w:top w:val="nil"/>
              <w:left w:val="nil"/>
              <w:bottom w:val="double" w:sz="6" w:space="0" w:color="auto"/>
              <w:right w:val="dotted" w:sz="4" w:space="0" w:color="auto"/>
            </w:tcBorders>
            <w:shd w:val="clear" w:color="auto" w:fill="F2DCDB"/>
            <w:noWrap/>
            <w:vAlign w:val="bottom"/>
            <w:hideMark/>
          </w:tcPr>
          <w:p w:rsidR="00E24310" w:rsidRPr="00CC6A9A" w:rsidRDefault="00E24310" w:rsidP="008412C7">
            <w:pPr>
              <w:spacing w:after="0" w:line="240" w:lineRule="auto"/>
              <w:jc w:val="right"/>
              <w:rPr>
                <w:rFonts w:ascii="Times New Roman" w:eastAsia="Times New Roman" w:hAnsi="Times New Roman" w:cs="Times New Roman"/>
                <w:b/>
                <w:bCs/>
                <w:sz w:val="24"/>
                <w:szCs w:val="24"/>
                <w:lang w:val="sq-AL" w:eastAsia="sq-AL"/>
              </w:rPr>
            </w:pPr>
            <w:r w:rsidRPr="00CC6A9A">
              <w:rPr>
                <w:rFonts w:ascii="Times New Roman" w:eastAsia="Times New Roman" w:hAnsi="Times New Roman" w:cs="Times New Roman"/>
                <w:b/>
                <w:bCs/>
                <w:sz w:val="24"/>
                <w:szCs w:val="24"/>
                <w:lang w:val="sq-AL" w:eastAsia="sq-AL"/>
              </w:rPr>
              <w:t>1061,2</w:t>
            </w:r>
          </w:p>
        </w:tc>
        <w:tc>
          <w:tcPr>
            <w:tcW w:w="850" w:type="dxa"/>
            <w:tcBorders>
              <w:top w:val="nil"/>
              <w:left w:val="nil"/>
              <w:bottom w:val="double" w:sz="6" w:space="0" w:color="auto"/>
              <w:right w:val="dotted" w:sz="4" w:space="0" w:color="auto"/>
            </w:tcBorders>
            <w:shd w:val="clear" w:color="auto" w:fill="F2DCDB"/>
            <w:noWrap/>
            <w:vAlign w:val="bottom"/>
            <w:hideMark/>
          </w:tcPr>
          <w:p w:rsidR="00E24310" w:rsidRPr="00CC6A9A" w:rsidRDefault="00E24310" w:rsidP="008412C7">
            <w:pPr>
              <w:spacing w:after="0" w:line="240" w:lineRule="auto"/>
              <w:jc w:val="right"/>
              <w:rPr>
                <w:rFonts w:ascii="Times New Roman" w:eastAsia="Times New Roman" w:hAnsi="Times New Roman" w:cs="Times New Roman"/>
                <w:b/>
                <w:bCs/>
                <w:sz w:val="24"/>
                <w:szCs w:val="24"/>
                <w:lang w:val="sq-AL" w:eastAsia="sq-AL"/>
              </w:rPr>
            </w:pPr>
            <w:r w:rsidRPr="00CC6A9A">
              <w:rPr>
                <w:rFonts w:ascii="Times New Roman" w:eastAsia="Times New Roman" w:hAnsi="Times New Roman" w:cs="Times New Roman"/>
                <w:b/>
                <w:bCs/>
                <w:sz w:val="24"/>
                <w:szCs w:val="24"/>
                <w:lang w:val="sq-AL" w:eastAsia="sq-AL"/>
              </w:rPr>
              <w:t>972.2</w:t>
            </w:r>
          </w:p>
        </w:tc>
        <w:tc>
          <w:tcPr>
            <w:tcW w:w="1276" w:type="dxa"/>
            <w:tcBorders>
              <w:top w:val="nil"/>
              <w:left w:val="nil"/>
              <w:bottom w:val="double" w:sz="6" w:space="0" w:color="auto"/>
              <w:right w:val="double" w:sz="6" w:space="0" w:color="auto"/>
            </w:tcBorders>
            <w:shd w:val="clear" w:color="auto" w:fill="F2DCDB"/>
            <w:noWrap/>
            <w:vAlign w:val="bottom"/>
            <w:hideMark/>
          </w:tcPr>
          <w:p w:rsidR="00E24310" w:rsidRPr="00CC6A9A" w:rsidRDefault="00E24310" w:rsidP="008412C7">
            <w:pPr>
              <w:spacing w:after="0" w:line="240" w:lineRule="auto"/>
              <w:jc w:val="center"/>
              <w:rPr>
                <w:rFonts w:ascii="Times New Roman" w:eastAsia="Times New Roman" w:hAnsi="Times New Roman" w:cs="Times New Roman"/>
                <w:b/>
                <w:bCs/>
                <w:sz w:val="24"/>
                <w:szCs w:val="24"/>
                <w:lang w:val="sq-AL" w:eastAsia="sq-AL"/>
              </w:rPr>
            </w:pPr>
            <w:r w:rsidRPr="00CC6A9A">
              <w:rPr>
                <w:rFonts w:ascii="Times New Roman" w:eastAsia="Times New Roman" w:hAnsi="Times New Roman" w:cs="Times New Roman"/>
                <w:b/>
                <w:bCs/>
                <w:sz w:val="24"/>
                <w:szCs w:val="24"/>
                <w:lang w:val="sq-AL" w:eastAsia="sq-AL"/>
              </w:rPr>
              <w:t xml:space="preserve">    91.6%</w:t>
            </w:r>
          </w:p>
        </w:tc>
      </w:tr>
    </w:tbl>
    <w:p w:rsidR="00E24310" w:rsidRPr="00CC6A9A" w:rsidRDefault="00E24310" w:rsidP="00E24310">
      <w:pPr>
        <w:spacing w:line="240" w:lineRule="auto"/>
        <w:jc w:val="both"/>
        <w:rPr>
          <w:rFonts w:ascii="Times New Roman" w:hAnsi="Times New Roman" w:cs="Times New Roman"/>
          <w:b/>
          <w:i/>
          <w:sz w:val="24"/>
          <w:szCs w:val="24"/>
          <w:u w:val="single"/>
          <w:lang w:val="sq-AL"/>
        </w:rPr>
      </w:pPr>
    </w:p>
    <w:p w:rsidR="00E24310" w:rsidRPr="00CC6A9A" w:rsidRDefault="00E24310" w:rsidP="00E24310">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Gjatë vitit, me kërkesë të Kuvendit, janë akorduar 240.000 lekë fond i veçantë, i cili është përdorur si ndihmë e menjëhershme për raste fatkeqësish në familje (humbje të familjarëve).</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 xml:space="preserve">Gjithashtu, gjatë vitit 2018 është akorduar fond për të paguar dy pagat e menjëhershme për ish deputetët </w:t>
      </w:r>
      <w:r w:rsidR="00614672">
        <w:rPr>
          <w:rFonts w:ascii="Times New Roman" w:hAnsi="Times New Roman" w:cs="Times New Roman"/>
          <w:sz w:val="24"/>
          <w:szCs w:val="24"/>
          <w:lang w:val="sq-AL"/>
        </w:rPr>
        <w:t>që lanë mandatin,</w:t>
      </w:r>
      <w:r w:rsidRPr="00CC6A9A">
        <w:rPr>
          <w:rFonts w:ascii="Times New Roman" w:hAnsi="Times New Roman" w:cs="Times New Roman"/>
          <w:sz w:val="24"/>
          <w:szCs w:val="24"/>
          <w:lang w:val="sq-AL"/>
        </w:rPr>
        <w:t xml:space="preserve"> në zbatim të ligjit nr. 9061, date 8.5.2003 </w:t>
      </w:r>
      <w:r w:rsidRPr="00CC6A9A">
        <w:rPr>
          <w:rFonts w:ascii="Times New Roman" w:hAnsi="Times New Roman" w:cs="Times New Roman"/>
          <w:i/>
          <w:sz w:val="24"/>
          <w:szCs w:val="24"/>
          <w:lang w:val="sq-AL"/>
        </w:rPr>
        <w:t>“</w:t>
      </w:r>
      <w:r w:rsidRPr="00CC6A9A">
        <w:rPr>
          <w:rFonts w:ascii="Times New Roman" w:hAnsi="Times New Roman" w:cs="Times New Roman"/>
          <w:sz w:val="24"/>
          <w:szCs w:val="24"/>
          <w:lang w:val="sq-AL"/>
        </w:rPr>
        <w:t>Për disa shtesa dhe ndryshime ne ligjin nr.8097, date 21.3.1996 "Për pensionet shtetërore suplementare të personave që kryejnë funksione kushtetuese dhe të punonjësve të shtetit", ndryshuar me ligjin nr.8500 datë 10.6.2000 “.</w:t>
      </w:r>
    </w:p>
    <w:p w:rsidR="00E24310" w:rsidRPr="00CC6A9A" w:rsidRDefault="00E24310" w:rsidP="00E24310">
      <w:pPr>
        <w:spacing w:line="240" w:lineRule="auto"/>
        <w:jc w:val="both"/>
        <w:rPr>
          <w:rFonts w:ascii="Times New Roman" w:hAnsi="Times New Roman" w:cs="Times New Roman"/>
          <w:sz w:val="24"/>
          <w:szCs w:val="24"/>
          <w:lang w:val="sq-AL"/>
        </w:rPr>
      </w:pPr>
    </w:p>
    <w:p w:rsidR="00E24310" w:rsidRPr="00CC6A9A" w:rsidRDefault="00E24310" w:rsidP="00E24310">
      <w:pPr>
        <w:spacing w:line="240" w:lineRule="auto"/>
        <w:jc w:val="both"/>
        <w:rPr>
          <w:rFonts w:ascii="Times New Roman" w:hAnsi="Times New Roman" w:cs="Times New Roman"/>
          <w:b/>
          <w:i/>
          <w:sz w:val="24"/>
          <w:szCs w:val="24"/>
          <w:u w:val="single"/>
          <w:lang w:val="sq-AL"/>
        </w:rPr>
      </w:pPr>
      <w:r w:rsidRPr="00CC6A9A">
        <w:rPr>
          <w:rFonts w:ascii="Times New Roman" w:hAnsi="Times New Roman" w:cs="Times New Roman"/>
          <w:b/>
          <w:i/>
          <w:sz w:val="24"/>
          <w:szCs w:val="24"/>
          <w:lang w:val="sq-AL"/>
        </w:rPr>
        <w:t>a.</w:t>
      </w:r>
      <w:r w:rsidRPr="00CC6A9A">
        <w:rPr>
          <w:rFonts w:ascii="Times New Roman" w:hAnsi="Times New Roman" w:cs="Times New Roman"/>
          <w:b/>
          <w:i/>
          <w:sz w:val="24"/>
          <w:szCs w:val="24"/>
          <w:u w:val="single"/>
          <w:lang w:val="sq-AL"/>
        </w:rPr>
        <w:t>Shpenzimet për paga dhe kontribute të sigurimeve shoqërore</w:t>
      </w:r>
    </w:p>
    <w:p w:rsidR="00E24310" w:rsidRPr="00CC6A9A" w:rsidRDefault="00E24310" w:rsidP="00E05459">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Referuar të dhënave të mësipërme, rezulton se këta dy zëra së bashku janë realizuar 99.4 %.</w:t>
      </w:r>
    </w:p>
    <w:p w:rsidR="00E24310" w:rsidRPr="00CC6A9A" w:rsidRDefault="00E24310" w:rsidP="00E24310">
      <w:pPr>
        <w:tabs>
          <w:tab w:val="left" w:pos="284"/>
        </w:tabs>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Grafiku i mëposhtëm paraqet numrin plan –fakt të deputetëve dhe stafit politik dhe administrativ, i krahasuar në vite:</w:t>
      </w:r>
    </w:p>
    <w:p w:rsidR="00E24310" w:rsidRPr="00CC6A9A" w:rsidRDefault="00E24310" w:rsidP="00E24310">
      <w:pPr>
        <w:tabs>
          <w:tab w:val="left" w:pos="284"/>
        </w:tabs>
        <w:spacing w:line="240" w:lineRule="auto"/>
        <w:jc w:val="both"/>
        <w:rPr>
          <w:rFonts w:ascii="Times New Roman" w:hAnsi="Times New Roman" w:cs="Times New Roman"/>
          <w:sz w:val="24"/>
          <w:szCs w:val="24"/>
          <w:lang w:val="sq-AL"/>
        </w:rPr>
      </w:pPr>
      <w:r w:rsidRPr="00CC6A9A">
        <w:rPr>
          <w:noProof/>
          <w:lang w:val="sq-AL" w:eastAsia="sq-AL"/>
        </w:rPr>
        <w:drawing>
          <wp:inline distT="0" distB="0" distL="0" distR="0" wp14:anchorId="065946B8" wp14:editId="29FAB00D">
            <wp:extent cx="5972175" cy="24955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4310" w:rsidRPr="00CC6A9A" w:rsidRDefault="00E24310" w:rsidP="00E24310">
      <w:pPr>
        <w:spacing w:line="240" w:lineRule="auto"/>
        <w:jc w:val="both"/>
        <w:rPr>
          <w:rFonts w:ascii="Times New Roman" w:hAnsi="Times New Roman" w:cs="Times New Roman"/>
          <w:b/>
          <w:i/>
          <w:sz w:val="24"/>
          <w:szCs w:val="24"/>
          <w:u w:val="single"/>
          <w:lang w:val="sq-AL"/>
        </w:rPr>
      </w:pPr>
    </w:p>
    <w:p w:rsidR="00E24310" w:rsidRPr="00CC6A9A" w:rsidRDefault="00E24310" w:rsidP="00E24310">
      <w:pPr>
        <w:spacing w:line="240" w:lineRule="auto"/>
        <w:jc w:val="both"/>
        <w:rPr>
          <w:rFonts w:ascii="Times New Roman" w:hAnsi="Times New Roman" w:cs="Times New Roman"/>
          <w:b/>
          <w:i/>
          <w:sz w:val="24"/>
          <w:szCs w:val="24"/>
          <w:u w:val="single"/>
          <w:lang w:val="sq-AL"/>
        </w:rPr>
      </w:pPr>
      <w:r w:rsidRPr="00CC6A9A">
        <w:rPr>
          <w:rFonts w:ascii="Times New Roman" w:hAnsi="Times New Roman" w:cs="Times New Roman"/>
          <w:b/>
          <w:i/>
          <w:sz w:val="24"/>
          <w:szCs w:val="24"/>
          <w:u w:val="single"/>
          <w:lang w:val="sq-AL"/>
        </w:rPr>
        <w:t>b.Shpenzimet për blerje materiale dhe shërbime (llogaria ekonomike 602)</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Realizimi për vitin 2018 i këtij grupi shpenzimesh rezulton 84.1 %.</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Ky zë buxhetor përfshin një gamë të gjerë shërbimesh dhe blerjesh.</w:t>
      </w:r>
    </w:p>
    <w:p w:rsidR="00E24310" w:rsidRPr="00E05459" w:rsidRDefault="00E24310" w:rsidP="00E24310">
      <w:pPr>
        <w:pStyle w:val="ListParagraph"/>
        <w:numPr>
          <w:ilvl w:val="0"/>
          <w:numId w:val="47"/>
        </w:numPr>
        <w:tabs>
          <w:tab w:val="left" w:pos="284"/>
        </w:tabs>
        <w:spacing w:line="240" w:lineRule="auto"/>
        <w:ind w:left="0" w:firstLine="0"/>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 xml:space="preserve">Grupi më i madh në këtë zë buxhetor, rreth 45-46 % e zënë </w:t>
      </w:r>
      <w:r w:rsidRPr="00CC6A9A">
        <w:rPr>
          <w:rFonts w:ascii="Times New Roman" w:hAnsi="Times New Roman" w:cs="Times New Roman"/>
          <w:b/>
          <w:i/>
          <w:sz w:val="24"/>
          <w:szCs w:val="24"/>
          <w:lang w:val="sq-AL"/>
        </w:rPr>
        <w:t xml:space="preserve">përfitimet financiare që parashikon ”Statusi i deputetit” </w:t>
      </w:r>
      <w:r w:rsidRPr="00CC6A9A">
        <w:rPr>
          <w:rFonts w:ascii="Times New Roman" w:hAnsi="Times New Roman" w:cs="Times New Roman"/>
          <w:sz w:val="24"/>
          <w:szCs w:val="24"/>
          <w:lang w:val="sq-AL"/>
        </w:rPr>
        <w:t xml:space="preserve">për anëtarët e parlamentit dhe vendimit 114/2014 të Kuvendit ”Për trajtimin e </w:t>
      </w:r>
      <w:r w:rsidRPr="00CC6A9A">
        <w:rPr>
          <w:rFonts w:ascii="Times New Roman" w:hAnsi="Times New Roman" w:cs="Times New Roman"/>
          <w:sz w:val="24"/>
          <w:szCs w:val="24"/>
          <w:lang w:val="sq-AL"/>
        </w:rPr>
        <w:lastRenderedPageBreak/>
        <w:t>deputetëve” në zbatim të ligjit</w:t>
      </w:r>
      <w:r w:rsidR="00E05459">
        <w:rPr>
          <w:rFonts w:ascii="Times New Roman" w:hAnsi="Times New Roman" w:cs="Times New Roman"/>
          <w:sz w:val="24"/>
          <w:szCs w:val="24"/>
          <w:lang w:val="sq-AL"/>
        </w:rPr>
        <w:t xml:space="preserve"> </w:t>
      </w:r>
      <w:r w:rsidR="00E05459" w:rsidRPr="00E05459">
        <w:rPr>
          <w:rFonts w:ascii="Times New Roman" w:hAnsi="Times New Roman" w:cs="Times New Roman"/>
          <w:sz w:val="24"/>
          <w:szCs w:val="24"/>
          <w:lang w:val="sq-AL"/>
        </w:rPr>
        <w:t>si dhe ligjin nr.10160 datë 15.10.2009 “Për rregullimin e shërbimit të transportit për funksionarët publikë dhe nëpunësit civilë” i ndryshuar)</w:t>
      </w:r>
      <w:r w:rsidRPr="00E05459">
        <w:rPr>
          <w:rFonts w:ascii="Times New Roman" w:hAnsi="Times New Roman" w:cs="Times New Roman"/>
          <w:sz w:val="24"/>
          <w:szCs w:val="24"/>
          <w:lang w:val="sq-AL"/>
        </w:rPr>
        <w:t>.</w:t>
      </w:r>
    </w:p>
    <w:p w:rsidR="00E24310" w:rsidRPr="00CC6A9A" w:rsidRDefault="00E24310" w:rsidP="00E24310">
      <w:pPr>
        <w:pStyle w:val="BodyText3"/>
        <w:spacing w:after="0"/>
        <w:jc w:val="both"/>
        <w:rPr>
          <w:bCs/>
          <w:sz w:val="24"/>
          <w:lang w:val="sq-AL"/>
        </w:rPr>
      </w:pPr>
      <w:r w:rsidRPr="00CC6A9A">
        <w:rPr>
          <w:bCs/>
          <w:sz w:val="24"/>
          <w:lang w:val="sq-AL"/>
        </w:rPr>
        <w:t xml:space="preserve">Planifikimi vjetor për këtë grup shpenzimesh </w:t>
      </w:r>
      <w:r w:rsidR="00614672">
        <w:rPr>
          <w:bCs/>
          <w:sz w:val="24"/>
          <w:lang w:val="sq-AL"/>
        </w:rPr>
        <w:t>bëhet duke patur parasysh realizimet e vieteve të mëparshme, me qellim qe te shmangim planifikimin e fryre te buxhetit.</w:t>
      </w:r>
      <w:r w:rsidR="00614672" w:rsidRPr="00CC6A9A">
        <w:rPr>
          <w:bCs/>
          <w:sz w:val="24"/>
          <w:lang w:val="sq-AL"/>
        </w:rPr>
        <w:t xml:space="preserve"> </w:t>
      </w:r>
      <w:r w:rsidRPr="00CC6A9A">
        <w:rPr>
          <w:bCs/>
          <w:sz w:val="24"/>
          <w:lang w:val="sq-AL"/>
        </w:rPr>
        <w:t xml:space="preserve">Kjo për faktin se në momentin e planifikimit nuk mund të ketë një numër të saktë të ditëve </w:t>
      </w:r>
      <w:r w:rsidR="00614672">
        <w:rPr>
          <w:bCs/>
          <w:sz w:val="24"/>
          <w:lang w:val="sq-AL"/>
        </w:rPr>
        <w:t>q</w:t>
      </w:r>
      <w:r w:rsidRPr="00CC6A9A">
        <w:rPr>
          <w:bCs/>
          <w:sz w:val="24"/>
          <w:lang w:val="sq-AL"/>
        </w:rPr>
        <w:t>ë deputetët lëviz</w:t>
      </w:r>
      <w:r w:rsidR="00614672">
        <w:rPr>
          <w:bCs/>
          <w:sz w:val="24"/>
          <w:lang w:val="sq-AL"/>
        </w:rPr>
        <w:t xml:space="preserve">in </w:t>
      </w:r>
      <w:r w:rsidRPr="00CC6A9A">
        <w:rPr>
          <w:bCs/>
          <w:sz w:val="24"/>
          <w:lang w:val="sq-AL"/>
        </w:rPr>
        <w:t xml:space="preserve"> nga qarqet në Tiranë për pjesëmarrje në seanca plenare dhe mbledhje te komisioneve ose lëvizje nga Tirana në qarqe për deputetët e tjerë; nuk mund të ketë një numër të saktë të mbledhjeve mujore/vjetore të komisioneve parlamentare etj.</w:t>
      </w:r>
      <w:r w:rsidR="00614672">
        <w:rPr>
          <w:bCs/>
          <w:sz w:val="24"/>
          <w:lang w:val="sq-AL"/>
        </w:rPr>
        <w:t>qe do të zhvillohen, etj</w:t>
      </w:r>
    </w:p>
    <w:p w:rsidR="00E24310" w:rsidRPr="00CC6A9A" w:rsidRDefault="00E24310" w:rsidP="00E24310">
      <w:pPr>
        <w:pStyle w:val="BodyText3"/>
        <w:spacing w:after="0"/>
        <w:jc w:val="both"/>
        <w:rPr>
          <w:bCs/>
          <w:sz w:val="24"/>
          <w:lang w:val="sq-AL"/>
        </w:rPr>
      </w:pPr>
      <w:r w:rsidRPr="00CC6A9A">
        <w:rPr>
          <w:bCs/>
          <w:sz w:val="24"/>
          <w:lang w:val="sq-AL"/>
        </w:rPr>
        <w:t xml:space="preserve">Edhe për këtë grup shpenzimesh bëhen analiza të realizimit gjatë vitit buxhetor dhe ose bëhen rialokime në grupe të tjera shpenzimesh nqs ka nevoja ose kthehen në buxhetin e shtetit, gjatë vitit, për të mundësuar shpërndarjen në sektorë të tjerë të ekonomisë. </w:t>
      </w:r>
    </w:p>
    <w:p w:rsidR="00E24310" w:rsidRPr="00CC6A9A" w:rsidRDefault="00E24310" w:rsidP="00E24310">
      <w:pPr>
        <w:pStyle w:val="BodyText3"/>
        <w:spacing w:after="0"/>
        <w:jc w:val="both"/>
        <w:rPr>
          <w:bCs/>
          <w:sz w:val="24"/>
          <w:lang w:val="sq-AL"/>
        </w:rPr>
      </w:pPr>
    </w:p>
    <w:p w:rsidR="00614672" w:rsidRDefault="00E24310" w:rsidP="0030029E">
      <w:pPr>
        <w:pStyle w:val="BodyText3"/>
        <w:numPr>
          <w:ilvl w:val="0"/>
          <w:numId w:val="47"/>
        </w:numPr>
        <w:spacing w:after="0"/>
        <w:ind w:left="0" w:hanging="142"/>
        <w:jc w:val="both"/>
        <w:rPr>
          <w:bCs/>
          <w:sz w:val="24"/>
          <w:lang w:val="sq-AL"/>
        </w:rPr>
      </w:pPr>
      <w:r w:rsidRPr="00614672">
        <w:rPr>
          <w:b/>
          <w:bCs/>
          <w:i/>
          <w:sz w:val="24"/>
          <w:lang w:val="sq-AL"/>
        </w:rPr>
        <w:t>Shpenzime për udhëtime jashtë shteti</w:t>
      </w:r>
      <w:r w:rsidRPr="00614672">
        <w:rPr>
          <w:bCs/>
          <w:sz w:val="24"/>
          <w:lang w:val="sq-AL"/>
        </w:rPr>
        <w:t xml:space="preserve"> </w:t>
      </w:r>
      <w:r w:rsidR="00614672">
        <w:rPr>
          <w:bCs/>
          <w:sz w:val="24"/>
          <w:lang w:val="sq-AL"/>
        </w:rPr>
        <w:t xml:space="preserve"> </w:t>
      </w:r>
    </w:p>
    <w:p w:rsidR="00614672" w:rsidRPr="00614672" w:rsidRDefault="00614672" w:rsidP="00614672">
      <w:pPr>
        <w:pStyle w:val="BodyText3"/>
        <w:spacing w:after="0"/>
        <w:jc w:val="both"/>
        <w:rPr>
          <w:bCs/>
          <w:sz w:val="24"/>
          <w:lang w:val="sq-AL"/>
        </w:rPr>
      </w:pPr>
      <w:r>
        <w:rPr>
          <w:bCs/>
          <w:sz w:val="24"/>
          <w:lang w:val="sq-AL"/>
        </w:rPr>
        <w:t>Gjatë vitit 2018</w:t>
      </w:r>
      <w:r w:rsidR="00E24310" w:rsidRPr="00614672">
        <w:rPr>
          <w:bCs/>
          <w:sz w:val="24"/>
          <w:lang w:val="sq-AL"/>
        </w:rPr>
        <w:t xml:space="preserve"> janë </w:t>
      </w:r>
      <w:r>
        <w:rPr>
          <w:bCs/>
          <w:sz w:val="24"/>
          <w:lang w:val="sq-AL"/>
        </w:rPr>
        <w:t>lëshuar</w:t>
      </w:r>
      <w:r w:rsidR="00E24310" w:rsidRPr="00614672">
        <w:rPr>
          <w:bCs/>
          <w:sz w:val="24"/>
          <w:lang w:val="sq-AL"/>
        </w:rPr>
        <w:t xml:space="preserve"> rreth 150 urdhra udhëtimi, në të cilët theksohet lloji i aktivitetit, përbërja e delegacionit pjesëmarrës, itinerari i udhëtimit, dhe cilat shpenzime mbulon Kuvendi i Shqipërisë. Nga këto urdhra, 16 kanë qenë me shpenzimet e palës pritëse (me rimbursim).</w:t>
      </w:r>
      <w:r>
        <w:rPr>
          <w:bCs/>
          <w:sz w:val="24"/>
          <w:lang w:val="sq-AL"/>
        </w:rPr>
        <w:t xml:space="preserve"> Keto udhëtime jane pjesëmarrje në Asamble parlamentare të NATO-s, AP të OSBE; PAM;PABSEC; e aktivitete të tjera nderparlamentare</w:t>
      </w:r>
    </w:p>
    <w:p w:rsidR="00E24310" w:rsidRPr="00CC6A9A" w:rsidRDefault="00E24310" w:rsidP="00E24310">
      <w:pPr>
        <w:pStyle w:val="BodyText3"/>
        <w:spacing w:after="0"/>
        <w:jc w:val="both"/>
        <w:rPr>
          <w:bCs/>
          <w:sz w:val="24"/>
          <w:lang w:val="sq-AL"/>
        </w:rPr>
      </w:pPr>
      <w:r w:rsidRPr="00CC6A9A">
        <w:rPr>
          <w:bCs/>
          <w:sz w:val="24"/>
          <w:lang w:val="sq-AL"/>
        </w:rPr>
        <w:t>Grafiku i mëposhtëm tregon trendin e shpenzimeve faktike për pjesëmarrje në aktivitete ndërparlamentare jashtë vendi, në vite:</w:t>
      </w:r>
    </w:p>
    <w:p w:rsidR="00E24310" w:rsidRPr="00CC6A9A" w:rsidRDefault="00E24310" w:rsidP="00E24310">
      <w:pPr>
        <w:pStyle w:val="BodyText3"/>
        <w:spacing w:after="0"/>
        <w:jc w:val="both"/>
        <w:rPr>
          <w:bCs/>
          <w:sz w:val="24"/>
          <w:lang w:val="sq-AL"/>
        </w:rPr>
      </w:pPr>
    </w:p>
    <w:p w:rsidR="00E24310" w:rsidRPr="00CC6A9A" w:rsidRDefault="00E24310" w:rsidP="00E24310">
      <w:pPr>
        <w:pStyle w:val="BodyText3"/>
        <w:spacing w:after="0"/>
        <w:jc w:val="both"/>
        <w:rPr>
          <w:bCs/>
          <w:sz w:val="24"/>
          <w:lang w:val="sq-AL"/>
        </w:rPr>
      </w:pPr>
      <w:r w:rsidRPr="00CC6A9A">
        <w:rPr>
          <w:noProof/>
          <w:lang w:val="sq-AL" w:eastAsia="sq-AL"/>
        </w:rPr>
        <w:drawing>
          <wp:inline distT="0" distB="0" distL="0" distR="0" wp14:anchorId="1140A6D6" wp14:editId="784D177C">
            <wp:extent cx="5991225" cy="198120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4310" w:rsidRPr="00CC6A9A" w:rsidRDefault="00E24310" w:rsidP="00E24310">
      <w:pPr>
        <w:pStyle w:val="BodyText3"/>
        <w:spacing w:after="0"/>
        <w:jc w:val="both"/>
        <w:rPr>
          <w:bCs/>
          <w:sz w:val="24"/>
          <w:lang w:val="sq-AL"/>
        </w:rPr>
      </w:pPr>
    </w:p>
    <w:p w:rsidR="00E24310" w:rsidRPr="00CC6A9A" w:rsidRDefault="00E24310" w:rsidP="00E24310">
      <w:pPr>
        <w:pStyle w:val="Normal0"/>
        <w:numPr>
          <w:ilvl w:val="0"/>
          <w:numId w:val="47"/>
        </w:numPr>
        <w:tabs>
          <w:tab w:val="left" w:pos="142"/>
        </w:tabs>
        <w:ind w:left="0" w:firstLine="0"/>
        <w:jc w:val="both"/>
        <w:rPr>
          <w:rFonts w:ascii="Times New Roman" w:hAnsi="Times New Roman" w:cs="Times New Roman"/>
          <w:lang w:val="sq-AL"/>
        </w:rPr>
      </w:pPr>
      <w:r w:rsidRPr="00CC6A9A">
        <w:rPr>
          <w:rFonts w:ascii="Times New Roman" w:hAnsi="Times New Roman" w:cs="Times New Roman"/>
          <w:b/>
          <w:bCs/>
          <w:i/>
          <w:lang w:val="sq-AL"/>
        </w:rPr>
        <w:t xml:space="preserve">Shpenzime për pritje e përcjellje delegacione të huaja </w:t>
      </w:r>
      <w:r w:rsidRPr="00CC6A9A">
        <w:rPr>
          <w:rFonts w:ascii="Times New Roman" w:hAnsi="Times New Roman" w:cs="Times New Roman"/>
          <w:bCs/>
          <w:lang w:val="sq-AL"/>
        </w:rPr>
        <w:t xml:space="preserve">është grupi i shpenzimeve që përfshin akomodim, dreka, apo takime zyrtare të delegacioneve parlamentare të huaja në Shqipëri. Këto shpenzime planifikohen mbi bazën e një programi të vizitës zyrtare apo aktivitetit dhe të  miratuar paraprakisht. Kuadri ligjor që parashikon këto shpenzime është </w:t>
      </w:r>
      <w:r w:rsidRPr="00CC6A9A">
        <w:rPr>
          <w:rFonts w:ascii="Times New Roman" w:hAnsi="Times New Roman" w:cs="Times New Roman"/>
          <w:lang w:val="sq-AL"/>
        </w:rPr>
        <w:t>vendimi i KM nr.243,  date 15.5. 1995 “Për shpenzimet për pritje, përcjellje dhe trajtimin qe u behet delegacioneve te huaja” i ndryshuar në vitin 1999.</w:t>
      </w:r>
    </w:p>
    <w:p w:rsidR="00E24310" w:rsidRPr="00CC6A9A" w:rsidRDefault="00E24310" w:rsidP="00E24310">
      <w:pPr>
        <w:pStyle w:val="Normal0"/>
        <w:jc w:val="both"/>
        <w:rPr>
          <w:rFonts w:ascii="Times New Roman" w:hAnsi="Times New Roman" w:cs="Times New Roman"/>
          <w:lang w:val="sq-AL"/>
        </w:rPr>
      </w:pPr>
      <w:r w:rsidRPr="00CC6A9A">
        <w:rPr>
          <w:rFonts w:ascii="Times New Roman" w:hAnsi="Times New Roman" w:cs="Times New Roman"/>
          <w:lang w:val="sq-AL"/>
        </w:rPr>
        <w:t>Në kuadër të mirëmenaxhimit të shpenzimeve për pritjet e përcjelljet në zyrë, në ambientet e sallës së Seancave apo të sallës VIP në aeroport (kryesisht  kafe, ujë), në Institucion është shpërndarë urdhër i brendshëm që vë përgjegjësitë për kontrollin dhe firmosjen e këtyre shpenzimeve në fletë daljet e Drejtorisë së Shërbimit Qeverita</w:t>
      </w:r>
      <w:r>
        <w:rPr>
          <w:rFonts w:ascii="Times New Roman" w:hAnsi="Times New Roman" w:cs="Times New Roman"/>
          <w:lang w:val="sq-AL"/>
        </w:rPr>
        <w:t>r</w:t>
      </w:r>
      <w:r w:rsidRPr="00CC6A9A">
        <w:rPr>
          <w:rFonts w:ascii="Times New Roman" w:hAnsi="Times New Roman" w:cs="Times New Roman"/>
          <w:lang w:val="sq-AL"/>
        </w:rPr>
        <w:t xml:space="preserve"> që i ofron këto shërbime. </w:t>
      </w:r>
    </w:p>
    <w:p w:rsidR="00E24310" w:rsidRPr="00CC6A9A" w:rsidRDefault="00E24310" w:rsidP="00E24310">
      <w:pPr>
        <w:pStyle w:val="BodyText3"/>
        <w:spacing w:after="0"/>
        <w:jc w:val="both"/>
        <w:rPr>
          <w:bCs/>
          <w:sz w:val="24"/>
          <w:lang w:val="sq-AL"/>
        </w:rPr>
      </w:pPr>
    </w:p>
    <w:p w:rsidR="00E24310" w:rsidRPr="00CC6A9A" w:rsidRDefault="00E24310" w:rsidP="00E24310">
      <w:pPr>
        <w:pStyle w:val="BodyText3"/>
        <w:spacing w:after="0"/>
        <w:jc w:val="both"/>
        <w:rPr>
          <w:bCs/>
          <w:sz w:val="24"/>
          <w:lang w:val="sq-AL"/>
        </w:rPr>
      </w:pPr>
    </w:p>
    <w:p w:rsidR="00E24310" w:rsidRPr="00CC6A9A" w:rsidRDefault="00E24310" w:rsidP="00E24310">
      <w:pPr>
        <w:pStyle w:val="BodyText3"/>
        <w:spacing w:after="0"/>
        <w:jc w:val="both"/>
        <w:rPr>
          <w:bCs/>
          <w:sz w:val="24"/>
          <w:lang w:val="sq-AL"/>
        </w:rPr>
      </w:pPr>
    </w:p>
    <w:p w:rsidR="00E24310" w:rsidRPr="00CC6A9A" w:rsidRDefault="00E24310" w:rsidP="00E24310">
      <w:pPr>
        <w:pStyle w:val="BodyText3"/>
        <w:numPr>
          <w:ilvl w:val="0"/>
          <w:numId w:val="47"/>
        </w:numPr>
        <w:tabs>
          <w:tab w:val="left" w:pos="142"/>
        </w:tabs>
        <w:spacing w:after="0"/>
        <w:ind w:left="0" w:firstLine="0"/>
        <w:jc w:val="both"/>
        <w:rPr>
          <w:b/>
          <w:bCs/>
          <w:i/>
          <w:sz w:val="24"/>
          <w:lang w:val="sq-AL"/>
        </w:rPr>
      </w:pPr>
      <w:r w:rsidRPr="00CC6A9A">
        <w:rPr>
          <w:b/>
          <w:bCs/>
          <w:i/>
          <w:sz w:val="24"/>
          <w:lang w:val="sq-AL"/>
        </w:rPr>
        <w:t>Shpenzime për botime parlamentare</w:t>
      </w:r>
    </w:p>
    <w:p w:rsidR="00E24310" w:rsidRPr="00CC6A9A" w:rsidRDefault="00E24310" w:rsidP="00E24310">
      <w:pPr>
        <w:pStyle w:val="BodyText3"/>
        <w:spacing w:after="0"/>
        <w:jc w:val="both"/>
        <w:rPr>
          <w:b/>
          <w:bCs/>
          <w:i/>
          <w:sz w:val="24"/>
          <w:lang w:val="sq-AL"/>
        </w:rPr>
      </w:pPr>
    </w:p>
    <w:p w:rsidR="00E24310" w:rsidRPr="00CC6A9A" w:rsidRDefault="00E24310" w:rsidP="00E24310">
      <w:pPr>
        <w:pStyle w:val="BodyText3"/>
        <w:spacing w:after="0"/>
        <w:jc w:val="both"/>
        <w:rPr>
          <w:bCs/>
          <w:sz w:val="24"/>
          <w:lang w:val="sq-AL"/>
        </w:rPr>
      </w:pPr>
      <w:r w:rsidRPr="00CC6A9A">
        <w:rPr>
          <w:bCs/>
          <w:sz w:val="24"/>
          <w:lang w:val="sq-AL"/>
        </w:rPr>
        <w:t xml:space="preserve">Peshën kryesore në këtë zë e zënë botimet “Revista e Kuvendit”, ” Ligjvënësit  1912-2017” dhe botime të reformës në drejtësi.  </w:t>
      </w:r>
    </w:p>
    <w:p w:rsidR="00E24310" w:rsidRPr="00CC6A9A" w:rsidRDefault="00E24310" w:rsidP="00E24310">
      <w:pPr>
        <w:pStyle w:val="BodyText3"/>
        <w:spacing w:after="0"/>
        <w:jc w:val="both"/>
        <w:rPr>
          <w:b/>
          <w:bCs/>
          <w:i/>
          <w:sz w:val="24"/>
          <w:lang w:val="sq-AL"/>
        </w:rPr>
      </w:pPr>
    </w:p>
    <w:p w:rsidR="00E24310" w:rsidRPr="00CC6A9A" w:rsidRDefault="00E24310" w:rsidP="00E24310">
      <w:pPr>
        <w:pStyle w:val="BodyText3"/>
        <w:spacing w:after="0"/>
        <w:jc w:val="both"/>
        <w:rPr>
          <w:bCs/>
          <w:sz w:val="24"/>
          <w:lang w:val="sq-AL"/>
        </w:rPr>
      </w:pPr>
      <w:r w:rsidRPr="00CC6A9A">
        <w:rPr>
          <w:noProof/>
          <w:lang w:val="sq-AL" w:eastAsia="sq-AL"/>
        </w:rPr>
        <w:drawing>
          <wp:inline distT="0" distB="0" distL="0" distR="0" wp14:anchorId="19DB1720" wp14:editId="0512E558">
            <wp:extent cx="5905500" cy="16383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4310" w:rsidRPr="00CC6A9A" w:rsidRDefault="00E24310" w:rsidP="00E24310">
      <w:pPr>
        <w:pStyle w:val="BodyText3"/>
        <w:spacing w:after="0"/>
        <w:ind w:left="360"/>
        <w:jc w:val="both"/>
        <w:rPr>
          <w:b/>
          <w:bCs/>
          <w:i/>
          <w:sz w:val="24"/>
          <w:lang w:val="sq-AL"/>
        </w:rPr>
      </w:pPr>
    </w:p>
    <w:p w:rsidR="00E24310" w:rsidRPr="00CC6A9A" w:rsidRDefault="00E24310" w:rsidP="00E24310">
      <w:pPr>
        <w:pStyle w:val="BodyText3"/>
        <w:spacing w:after="0"/>
        <w:ind w:left="360"/>
        <w:jc w:val="both"/>
        <w:rPr>
          <w:b/>
          <w:bCs/>
          <w:i/>
          <w:sz w:val="24"/>
          <w:lang w:val="sq-AL"/>
        </w:rPr>
      </w:pPr>
    </w:p>
    <w:p w:rsidR="00E24310" w:rsidRPr="00CC6A9A" w:rsidRDefault="00E24310" w:rsidP="00E24310">
      <w:pPr>
        <w:pStyle w:val="BodyText3"/>
        <w:numPr>
          <w:ilvl w:val="0"/>
          <w:numId w:val="47"/>
        </w:numPr>
        <w:tabs>
          <w:tab w:val="left" w:pos="284"/>
        </w:tabs>
        <w:spacing w:after="0"/>
        <w:ind w:left="0" w:firstLine="0"/>
        <w:jc w:val="both"/>
        <w:rPr>
          <w:b/>
          <w:bCs/>
          <w:i/>
          <w:sz w:val="24"/>
          <w:lang w:val="sq-AL"/>
        </w:rPr>
      </w:pPr>
      <w:r w:rsidRPr="00CC6A9A">
        <w:rPr>
          <w:b/>
          <w:bCs/>
          <w:i/>
          <w:sz w:val="24"/>
          <w:lang w:val="sq-AL"/>
        </w:rPr>
        <w:t>Shpenzime për mirëmbajtje të sistemeve elektronike dhe pajisjeve të tjera.</w:t>
      </w:r>
    </w:p>
    <w:p w:rsidR="00E24310" w:rsidRPr="00CC6A9A" w:rsidRDefault="00E24310" w:rsidP="00E24310">
      <w:pPr>
        <w:pStyle w:val="BodyText3"/>
        <w:spacing w:after="0"/>
        <w:jc w:val="both"/>
        <w:rPr>
          <w:bCs/>
          <w:sz w:val="24"/>
          <w:lang w:val="sq-AL"/>
        </w:rPr>
      </w:pPr>
    </w:p>
    <w:p w:rsidR="00E24310" w:rsidRPr="00CC6A9A" w:rsidRDefault="00E24310" w:rsidP="00E24310">
      <w:pPr>
        <w:pStyle w:val="BodyText3"/>
        <w:spacing w:after="0"/>
        <w:jc w:val="both"/>
        <w:rPr>
          <w:bCs/>
          <w:sz w:val="24"/>
          <w:lang w:val="sq-AL"/>
        </w:rPr>
      </w:pPr>
      <w:r w:rsidRPr="00CC6A9A">
        <w:rPr>
          <w:bCs/>
          <w:sz w:val="24"/>
          <w:lang w:val="sq-AL"/>
        </w:rPr>
        <w:t>Ky grup shpenzimesh rezu</w:t>
      </w:r>
      <w:r w:rsidR="00F35200">
        <w:rPr>
          <w:bCs/>
          <w:sz w:val="24"/>
          <w:lang w:val="sq-AL"/>
        </w:rPr>
        <w:t>lton në vlera të konsiderueshme,</w:t>
      </w:r>
      <w:r w:rsidRPr="00CC6A9A">
        <w:rPr>
          <w:bCs/>
          <w:sz w:val="24"/>
          <w:lang w:val="sq-AL"/>
        </w:rPr>
        <w:t xml:space="preserve"> për shkak të nevojave për mirëmbajtje të sistemeve të tilla si: sistemi e-parlament; sistemi elektronik i votimit, sistem</w:t>
      </w:r>
      <w:r>
        <w:rPr>
          <w:bCs/>
          <w:sz w:val="24"/>
          <w:lang w:val="sq-AL"/>
        </w:rPr>
        <w:t>i i sigurisë me kamera; rrjeti w</w:t>
      </w:r>
      <w:r w:rsidRPr="00CC6A9A">
        <w:rPr>
          <w:bCs/>
          <w:sz w:val="24"/>
          <w:lang w:val="sq-AL"/>
        </w:rPr>
        <w:t>ireless; pajisjet e tilla si kondicionerë nëpër zyra; gjeneratori; fotokopjatricet; skanerët e sigurisë; ashensorët, autoveturat etj.</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Rritja e vlerës së këtyre shpenzimeve nga viti në vit shpjegohet me amortizimin e pajisjeve dhe sistemeve ekzistuese që kërkojnë shpenzime shërbim mirëmbajtje në rritje dhe  me kërkesat e VKM nr.710 datë 21.08.2013 ”Për krijimin dhe funksionimin e sistemeve të ruajtjes së informacionit,  vazhdueshmërisë së punës dhe marrëveshjeve të nivelit të shërbimit” për sigurimin e mirëmbajtjes së planifikuar gjatë 2-4 vjet.</w:t>
      </w:r>
    </w:p>
    <w:p w:rsidR="00E24310" w:rsidRPr="00CC6A9A" w:rsidRDefault="00E24310" w:rsidP="00E24310">
      <w:pPr>
        <w:spacing w:line="240" w:lineRule="auto"/>
        <w:jc w:val="both"/>
        <w:rPr>
          <w:rFonts w:ascii="Times New Roman" w:hAnsi="Times New Roman" w:cs="Times New Roman"/>
          <w:sz w:val="24"/>
          <w:szCs w:val="24"/>
          <w:lang w:val="sq-AL"/>
        </w:rPr>
      </w:pPr>
    </w:p>
    <w:p w:rsidR="00E24310" w:rsidRPr="00CC6A9A" w:rsidRDefault="00E24310" w:rsidP="00E24310">
      <w:pPr>
        <w:pStyle w:val="ListParagraph"/>
        <w:numPr>
          <w:ilvl w:val="0"/>
          <w:numId w:val="47"/>
        </w:numPr>
        <w:tabs>
          <w:tab w:val="left" w:pos="284"/>
        </w:tabs>
        <w:spacing w:line="240" w:lineRule="auto"/>
        <w:ind w:left="0" w:firstLine="0"/>
        <w:jc w:val="both"/>
        <w:rPr>
          <w:rFonts w:ascii="Times New Roman" w:hAnsi="Times New Roman" w:cs="Times New Roman"/>
          <w:b/>
          <w:i/>
          <w:sz w:val="24"/>
          <w:szCs w:val="24"/>
          <w:lang w:val="sq-AL"/>
        </w:rPr>
      </w:pPr>
      <w:r w:rsidRPr="00CC6A9A">
        <w:rPr>
          <w:rFonts w:ascii="Times New Roman" w:hAnsi="Times New Roman" w:cs="Times New Roman"/>
          <w:b/>
          <w:i/>
          <w:sz w:val="24"/>
          <w:szCs w:val="24"/>
          <w:lang w:val="sq-AL"/>
        </w:rPr>
        <w:t>Shpenzime për energji elektrike, ujë, shërbime postare dhe telefoni</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Realizimi i këtyre shpenzimeve nga viti në vit kanë qenë në rënie duke theksuar se nuk realizohen shpenzime për telefoninë celulare të funksionarëve, për të cilët vendimi i Këshillit të Ministrave parashikon shpenzim nga buxheti i shtetit. Kjo për faktin se po ky vendim kërkon lidhjen nga ana e institucionit të një kontrate me një nga operatorët e telefonisë mobile, gjë që nuk është realizuar.</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Gjithashtu shpenzimet e telefonisë fikse rezultojnë në rënie.</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noProof/>
          <w:lang w:val="sq-AL" w:eastAsia="sq-AL"/>
        </w:rPr>
        <w:drawing>
          <wp:inline distT="0" distB="0" distL="0" distR="0" wp14:anchorId="1414CC87" wp14:editId="7CF70545">
            <wp:extent cx="6057900" cy="195262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4310" w:rsidRPr="00CC6A9A" w:rsidRDefault="00E24310" w:rsidP="00E24310">
      <w:pPr>
        <w:spacing w:line="240" w:lineRule="auto"/>
        <w:jc w:val="both"/>
        <w:rPr>
          <w:rFonts w:ascii="Times New Roman" w:hAnsi="Times New Roman" w:cs="Times New Roman"/>
          <w:b/>
          <w:i/>
          <w:sz w:val="24"/>
          <w:szCs w:val="24"/>
          <w:lang w:val="sq-AL"/>
        </w:rPr>
      </w:pPr>
      <w:r w:rsidRPr="00CC6A9A">
        <w:rPr>
          <w:rFonts w:ascii="Times New Roman" w:hAnsi="Times New Roman" w:cs="Times New Roman"/>
          <w:sz w:val="24"/>
          <w:szCs w:val="24"/>
          <w:lang w:val="sq-AL"/>
        </w:rPr>
        <w:t xml:space="preserve"> </w:t>
      </w:r>
    </w:p>
    <w:p w:rsidR="00E24310" w:rsidRPr="00CC6A9A" w:rsidRDefault="00E24310" w:rsidP="00E24310">
      <w:pPr>
        <w:pStyle w:val="ListParagraph"/>
        <w:numPr>
          <w:ilvl w:val="0"/>
          <w:numId w:val="47"/>
        </w:numPr>
        <w:tabs>
          <w:tab w:val="left" w:pos="142"/>
        </w:tabs>
        <w:spacing w:line="240" w:lineRule="auto"/>
        <w:ind w:left="0" w:firstLine="0"/>
        <w:jc w:val="both"/>
        <w:rPr>
          <w:rFonts w:ascii="Times New Roman" w:hAnsi="Times New Roman" w:cs="Times New Roman"/>
          <w:b/>
          <w:i/>
          <w:sz w:val="24"/>
          <w:szCs w:val="24"/>
          <w:lang w:val="sq-AL"/>
        </w:rPr>
      </w:pPr>
      <w:r w:rsidRPr="00CC6A9A">
        <w:rPr>
          <w:rFonts w:ascii="Times New Roman" w:hAnsi="Times New Roman" w:cs="Times New Roman"/>
          <w:b/>
          <w:i/>
          <w:sz w:val="24"/>
          <w:szCs w:val="24"/>
          <w:lang w:val="sq-AL"/>
        </w:rPr>
        <w:t xml:space="preserve">Shpenzime për blerje karburant për autoveturat </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Gjatë vitit 2018 nuk janë realizuar shpenzimet për blerjen e sasisë së nevojshme të karburantit, për shkak të mosrealizimit (kanë rezultuar jo të suksesshme) të procedurave të prokurimit.</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lastRenderedPageBreak/>
        <w:t>Vlera e planifikuar për nevojat vjetore të karburantit është kthyer në buxhetin e shtetit.</w:t>
      </w:r>
    </w:p>
    <w:p w:rsidR="00E24310" w:rsidRPr="00CC6A9A" w:rsidRDefault="00E24310" w:rsidP="00E24310">
      <w:pPr>
        <w:pStyle w:val="ListParagraph"/>
        <w:numPr>
          <w:ilvl w:val="0"/>
          <w:numId w:val="47"/>
        </w:numPr>
        <w:tabs>
          <w:tab w:val="left" w:pos="142"/>
        </w:tabs>
        <w:spacing w:line="240" w:lineRule="auto"/>
        <w:ind w:left="0" w:firstLine="0"/>
        <w:jc w:val="both"/>
        <w:rPr>
          <w:rFonts w:ascii="Times New Roman" w:hAnsi="Times New Roman" w:cs="Times New Roman"/>
          <w:b/>
          <w:i/>
          <w:sz w:val="24"/>
          <w:szCs w:val="24"/>
          <w:lang w:val="sq-AL"/>
        </w:rPr>
      </w:pPr>
      <w:r w:rsidRPr="00CC6A9A">
        <w:rPr>
          <w:rFonts w:ascii="Times New Roman" w:hAnsi="Times New Roman" w:cs="Times New Roman"/>
          <w:b/>
          <w:i/>
          <w:sz w:val="24"/>
          <w:szCs w:val="24"/>
          <w:lang w:val="sq-AL"/>
        </w:rPr>
        <w:t>Shpenzime për blerje kancelari, materiale pastrimi, hidraulike, elektrike, tonerë për printerë etj.(në milion lekë)</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Duke qenë se Kuvendi operon në godina të mëdha, me shumë zyra e salla dhe ambiente të tjera pune, pritje, salla mbledhjesh etj, është e nevojshme sigurimi i një baze materiale kancelarie ku peshën kryesore e zë letra A4, materiale për pastrim, dezinfektim, për  riparime te ndryshme dhe lyerje zyrash.</w:t>
      </w:r>
    </w:p>
    <w:p w:rsidR="00E24310" w:rsidRPr="00CC6A9A" w:rsidRDefault="00E24310" w:rsidP="00E24310">
      <w:pPr>
        <w:spacing w:line="240" w:lineRule="auto"/>
        <w:jc w:val="both"/>
        <w:rPr>
          <w:rFonts w:ascii="Times New Roman" w:hAnsi="Times New Roman" w:cs="Times New Roman"/>
          <w:sz w:val="24"/>
          <w:szCs w:val="24"/>
          <w:lang w:val="sq-AL"/>
        </w:rPr>
      </w:pPr>
      <w:r w:rsidRPr="00CC6A9A">
        <w:rPr>
          <w:noProof/>
          <w:lang w:val="sq-AL" w:eastAsia="sq-AL"/>
        </w:rPr>
        <w:drawing>
          <wp:inline distT="0" distB="0" distL="0" distR="0" wp14:anchorId="2B922B0B" wp14:editId="218A0BF5">
            <wp:extent cx="5934075" cy="145732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4310" w:rsidRPr="00CC6A9A" w:rsidRDefault="00E24310" w:rsidP="00E24310">
      <w:pPr>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 xml:space="preserve">Shpenzime të tjera kanë të bëjnë me taksa, siguracione,  pagesa të përkthyesve në gjuhë të huaja, pagesa për komisione ad hoc që marrin pjesë në proceset e rekrutimit të burimeve njerëzore, blerje dhurata </w:t>
      </w:r>
      <w:r w:rsidR="00F35200">
        <w:rPr>
          <w:rFonts w:ascii="Times New Roman" w:hAnsi="Times New Roman" w:cs="Times New Roman"/>
          <w:sz w:val="24"/>
          <w:szCs w:val="24"/>
          <w:lang w:val="sq-AL"/>
        </w:rPr>
        <w:t xml:space="preserve">protokollare brenda limitit te percaktuar me vkm </w:t>
      </w:r>
      <w:r w:rsidRPr="00CC6A9A">
        <w:rPr>
          <w:rFonts w:ascii="Times New Roman" w:hAnsi="Times New Roman" w:cs="Times New Roman"/>
          <w:sz w:val="24"/>
          <w:szCs w:val="24"/>
          <w:lang w:val="sq-AL"/>
        </w:rPr>
        <w:t>apo lule e kurora (sipas rastit dhe me kërkesë të Shërbimit të protokollit Zyrtar) etj.</w:t>
      </w:r>
    </w:p>
    <w:p w:rsidR="00E24310" w:rsidRPr="00CC6A9A" w:rsidRDefault="00E24310" w:rsidP="00E24310">
      <w:pPr>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Pesha specifike e secilit nëngrup që përbën grupin e shpenzimeve ”Blerje mallra dhe shërbime”, në analizë ekonomike llogaria 602, paraqitet  grafikisht si më poshtë:</w:t>
      </w:r>
    </w:p>
    <w:p w:rsidR="00E24310" w:rsidRPr="00CC6A9A" w:rsidRDefault="00E24310" w:rsidP="00E24310">
      <w:pPr>
        <w:jc w:val="both"/>
        <w:rPr>
          <w:rFonts w:ascii="Times New Roman" w:hAnsi="Times New Roman" w:cs="Times New Roman"/>
          <w:sz w:val="24"/>
          <w:szCs w:val="24"/>
          <w:lang w:val="sq-AL"/>
        </w:rPr>
      </w:pPr>
      <w:r w:rsidRPr="00CC6A9A">
        <w:rPr>
          <w:noProof/>
          <w:lang w:val="sq-AL" w:eastAsia="sq-AL"/>
        </w:rPr>
        <w:drawing>
          <wp:inline distT="0" distB="0" distL="0" distR="0" wp14:anchorId="47F96A01" wp14:editId="46648473">
            <wp:extent cx="6010275" cy="33147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4310" w:rsidRDefault="00E24310" w:rsidP="00E24310">
      <w:pPr>
        <w:autoSpaceDE w:val="0"/>
        <w:autoSpaceDN w:val="0"/>
        <w:adjustRightInd w:val="0"/>
        <w:spacing w:after="0" w:line="240" w:lineRule="auto"/>
        <w:jc w:val="both"/>
        <w:rPr>
          <w:rFonts w:ascii="Times New Roman" w:hAnsi="Times New Roman" w:cs="Times New Roman"/>
          <w:bCs/>
          <w:sz w:val="24"/>
          <w:szCs w:val="24"/>
          <w:lang w:val="sq-AL"/>
        </w:rPr>
      </w:pPr>
    </w:p>
    <w:p w:rsidR="00606686" w:rsidRDefault="00606686" w:rsidP="00E24310">
      <w:pPr>
        <w:autoSpaceDE w:val="0"/>
        <w:autoSpaceDN w:val="0"/>
        <w:adjustRightInd w:val="0"/>
        <w:spacing w:after="0" w:line="240" w:lineRule="auto"/>
        <w:jc w:val="both"/>
        <w:rPr>
          <w:rFonts w:ascii="Times New Roman" w:hAnsi="Times New Roman" w:cs="Times New Roman"/>
          <w:bCs/>
          <w:sz w:val="24"/>
          <w:szCs w:val="24"/>
          <w:lang w:val="sq-AL"/>
        </w:rPr>
      </w:pPr>
    </w:p>
    <w:p w:rsidR="00606686" w:rsidRDefault="00606686" w:rsidP="00E24310">
      <w:pPr>
        <w:autoSpaceDE w:val="0"/>
        <w:autoSpaceDN w:val="0"/>
        <w:adjustRightInd w:val="0"/>
        <w:spacing w:after="0" w:line="240" w:lineRule="auto"/>
        <w:jc w:val="both"/>
        <w:rPr>
          <w:rFonts w:ascii="Times New Roman" w:hAnsi="Times New Roman" w:cs="Times New Roman"/>
          <w:bCs/>
          <w:sz w:val="24"/>
          <w:szCs w:val="24"/>
          <w:lang w:val="sq-AL"/>
        </w:rPr>
      </w:pPr>
    </w:p>
    <w:p w:rsidR="00606686" w:rsidRDefault="00606686" w:rsidP="00E24310">
      <w:pPr>
        <w:autoSpaceDE w:val="0"/>
        <w:autoSpaceDN w:val="0"/>
        <w:adjustRightInd w:val="0"/>
        <w:spacing w:after="0" w:line="240" w:lineRule="auto"/>
        <w:jc w:val="both"/>
        <w:rPr>
          <w:rFonts w:ascii="Times New Roman" w:hAnsi="Times New Roman" w:cs="Times New Roman"/>
          <w:bCs/>
          <w:sz w:val="24"/>
          <w:szCs w:val="24"/>
          <w:lang w:val="sq-AL"/>
        </w:rPr>
      </w:pPr>
    </w:p>
    <w:p w:rsidR="00606686" w:rsidRDefault="00606686" w:rsidP="00E24310">
      <w:pPr>
        <w:autoSpaceDE w:val="0"/>
        <w:autoSpaceDN w:val="0"/>
        <w:adjustRightInd w:val="0"/>
        <w:spacing w:after="0" w:line="240" w:lineRule="auto"/>
        <w:jc w:val="both"/>
        <w:rPr>
          <w:rFonts w:ascii="Times New Roman" w:hAnsi="Times New Roman" w:cs="Times New Roman"/>
          <w:bCs/>
          <w:sz w:val="24"/>
          <w:szCs w:val="24"/>
          <w:lang w:val="sq-AL"/>
        </w:rPr>
      </w:pPr>
    </w:p>
    <w:p w:rsidR="00606686" w:rsidRPr="00CC6A9A" w:rsidRDefault="00606686" w:rsidP="00E24310">
      <w:pPr>
        <w:autoSpaceDE w:val="0"/>
        <w:autoSpaceDN w:val="0"/>
        <w:adjustRightInd w:val="0"/>
        <w:spacing w:after="0" w:line="240" w:lineRule="auto"/>
        <w:jc w:val="both"/>
        <w:rPr>
          <w:rFonts w:ascii="Times New Roman" w:hAnsi="Times New Roman" w:cs="Times New Roman"/>
          <w:bCs/>
          <w:sz w:val="24"/>
          <w:szCs w:val="24"/>
          <w:lang w:val="sq-AL"/>
        </w:rPr>
      </w:pPr>
      <w:bookmarkStart w:id="0" w:name="_GoBack"/>
      <w:bookmarkEnd w:id="0"/>
    </w:p>
    <w:p w:rsidR="00E24310" w:rsidRPr="00CC6A9A" w:rsidRDefault="00E24310" w:rsidP="00E24310">
      <w:pPr>
        <w:jc w:val="both"/>
        <w:rPr>
          <w:rFonts w:ascii="Times New Roman" w:hAnsi="Times New Roman" w:cs="Times New Roman"/>
          <w:sz w:val="24"/>
          <w:szCs w:val="24"/>
          <w:lang w:val="sq-AL"/>
        </w:rPr>
      </w:pPr>
      <w:r w:rsidRPr="00CC6A9A">
        <w:rPr>
          <w:rFonts w:ascii="Times New Roman" w:hAnsi="Times New Roman" w:cs="Times New Roman"/>
          <w:b/>
          <w:sz w:val="24"/>
          <w:szCs w:val="24"/>
          <w:lang w:val="sq-AL"/>
        </w:rPr>
        <w:lastRenderedPageBreak/>
        <w:t>c.</w:t>
      </w:r>
      <w:r w:rsidRPr="00CC6A9A">
        <w:rPr>
          <w:rFonts w:ascii="Times New Roman" w:hAnsi="Times New Roman" w:cs="Times New Roman"/>
          <w:b/>
          <w:i/>
          <w:sz w:val="24"/>
          <w:szCs w:val="24"/>
          <w:u w:val="single"/>
          <w:lang w:val="sq-AL"/>
        </w:rPr>
        <w:t>Shpenzimet për kuotat parlamentare</w:t>
      </w:r>
      <w:r w:rsidRPr="00CC6A9A">
        <w:rPr>
          <w:rFonts w:ascii="Times New Roman" w:hAnsi="Times New Roman" w:cs="Times New Roman"/>
          <w:b/>
          <w:sz w:val="24"/>
          <w:szCs w:val="24"/>
          <w:lang w:val="sq-AL"/>
        </w:rPr>
        <w:t>,</w:t>
      </w:r>
      <w:r w:rsidRPr="00CC6A9A">
        <w:rPr>
          <w:rFonts w:ascii="Times New Roman" w:hAnsi="Times New Roman" w:cs="Times New Roman"/>
          <w:sz w:val="24"/>
          <w:szCs w:val="24"/>
          <w:lang w:val="sq-AL"/>
        </w:rPr>
        <w:t xml:space="preserve"> </w:t>
      </w:r>
    </w:p>
    <w:p w:rsidR="00E24310" w:rsidRPr="00CC6A9A" w:rsidRDefault="00E24310" w:rsidP="00E24310">
      <w:pPr>
        <w:pStyle w:val="ListParagraph"/>
        <w:tabs>
          <w:tab w:val="left" w:pos="284"/>
        </w:tabs>
        <w:spacing w:line="240" w:lineRule="auto"/>
        <w:ind w:left="0"/>
        <w:jc w:val="both"/>
        <w:rPr>
          <w:rFonts w:ascii="Times New Roman" w:hAnsi="Times New Roman" w:cs="Times New Roman"/>
          <w:sz w:val="24"/>
          <w:szCs w:val="24"/>
          <w:lang w:val="sq-AL"/>
        </w:rPr>
      </w:pPr>
    </w:p>
    <w:p w:rsidR="00E24310" w:rsidRPr="00CC6A9A" w:rsidRDefault="00E24310" w:rsidP="00E24310">
      <w:pPr>
        <w:pStyle w:val="ListParagraph"/>
        <w:tabs>
          <w:tab w:val="left" w:pos="284"/>
        </w:tabs>
        <w:spacing w:line="240" w:lineRule="auto"/>
        <w:ind w:left="0"/>
        <w:jc w:val="both"/>
        <w:rPr>
          <w:rFonts w:ascii="Times New Roman" w:hAnsi="Times New Roman" w:cs="Times New Roman"/>
          <w:sz w:val="24"/>
          <w:szCs w:val="24"/>
          <w:lang w:val="sq-AL"/>
        </w:rPr>
      </w:pPr>
      <w:r w:rsidRPr="00CC6A9A">
        <w:rPr>
          <w:rFonts w:ascii="Times New Roman" w:hAnsi="Times New Roman"/>
          <w:sz w:val="24"/>
          <w:szCs w:val="24"/>
          <w:lang w:val="sq-AL"/>
        </w:rPr>
        <w:t xml:space="preserve">Kuvendi i Shqipërisë është anëtar me të drejta të plota në organizata shumëpalëshe ndërkombëtare dhe asambletë përkatëse të këtyre organizatave. Një detyrim që lind pas anëtarësimit në këto organizata është dhe pagesa e kontributeve vjetore. Kështu mund të listojmë </w:t>
      </w:r>
      <w:r w:rsidRPr="00CC6A9A">
        <w:rPr>
          <w:rFonts w:ascii="Times New Roman" w:eastAsia="Times New Roman" w:hAnsi="Times New Roman" w:cs="Times New Roman"/>
          <w:sz w:val="24"/>
          <w:szCs w:val="24"/>
          <w:lang w:val="sq-AL" w:eastAsia="sq-AL"/>
        </w:rPr>
        <w:t>Antlantiku Verior (PAM); OSBE;</w:t>
      </w:r>
    </w:p>
    <w:p w:rsidR="00E24310" w:rsidRPr="00CC6A9A" w:rsidRDefault="00E24310" w:rsidP="00E24310">
      <w:pPr>
        <w:pStyle w:val="ListParagraph"/>
        <w:spacing w:line="240" w:lineRule="auto"/>
        <w:ind w:left="0"/>
        <w:jc w:val="both"/>
        <w:rPr>
          <w:rFonts w:ascii="Times New Roman" w:hAnsi="Times New Roman" w:cs="Times New Roman"/>
          <w:sz w:val="24"/>
          <w:szCs w:val="24"/>
          <w:lang w:val="sq-AL"/>
        </w:rPr>
      </w:pPr>
      <w:r w:rsidRPr="00CC6A9A">
        <w:rPr>
          <w:rFonts w:ascii="Times New Roman" w:eastAsia="Times New Roman" w:hAnsi="Times New Roman" w:cs="Times New Roman"/>
          <w:sz w:val="24"/>
          <w:szCs w:val="24"/>
          <w:lang w:val="sq-AL" w:eastAsia="sq-AL"/>
        </w:rPr>
        <w:t xml:space="preserve">Unioni </w:t>
      </w:r>
      <w:r>
        <w:rPr>
          <w:rFonts w:ascii="Times New Roman" w:eastAsia="Times New Roman" w:hAnsi="Times New Roman" w:cs="Times New Roman"/>
          <w:sz w:val="24"/>
          <w:szCs w:val="24"/>
          <w:lang w:val="sq-AL" w:eastAsia="sq-AL"/>
        </w:rPr>
        <w:t>Ndër</w:t>
      </w:r>
      <w:r w:rsidRPr="00CC6A9A">
        <w:rPr>
          <w:rFonts w:ascii="Times New Roman" w:eastAsia="Times New Roman" w:hAnsi="Times New Roman" w:cs="Times New Roman"/>
          <w:sz w:val="24"/>
          <w:szCs w:val="24"/>
          <w:lang w:val="sq-AL" w:eastAsia="sq-AL"/>
        </w:rPr>
        <w:t>parlamentar (IPU); PABSEC; Asambleja Parlamentare e NATO; Asambleja Parlamentare e Frankofonise.</w:t>
      </w:r>
    </w:p>
    <w:p w:rsidR="00E24310" w:rsidRPr="00CC6A9A" w:rsidRDefault="00E24310" w:rsidP="00E24310">
      <w:pPr>
        <w:pStyle w:val="ListParagraph"/>
        <w:spacing w:line="240" w:lineRule="auto"/>
        <w:ind w:left="0"/>
        <w:jc w:val="both"/>
        <w:rPr>
          <w:rFonts w:ascii="Times New Roman" w:hAnsi="Times New Roman" w:cs="Times New Roman"/>
          <w:sz w:val="24"/>
          <w:szCs w:val="24"/>
          <w:lang w:val="sq-AL"/>
        </w:rPr>
      </w:pPr>
    </w:p>
    <w:p w:rsidR="00E24310" w:rsidRPr="00CC6A9A" w:rsidRDefault="00E24310" w:rsidP="00E24310">
      <w:pPr>
        <w:pStyle w:val="ListParagraph"/>
        <w:spacing w:line="240" w:lineRule="auto"/>
        <w:ind w:left="0"/>
        <w:jc w:val="both"/>
        <w:rPr>
          <w:rFonts w:ascii="Times New Roman" w:hAnsi="Times New Roman" w:cs="Times New Roman"/>
          <w:sz w:val="24"/>
          <w:szCs w:val="24"/>
          <w:lang w:val="sq-AL"/>
        </w:rPr>
      </w:pPr>
      <w:r w:rsidRPr="00CC6A9A">
        <w:rPr>
          <w:rFonts w:ascii="Times New Roman" w:hAnsi="Times New Roman"/>
          <w:sz w:val="24"/>
          <w:szCs w:val="24"/>
          <w:lang w:val="sq-AL"/>
        </w:rPr>
        <w:t>Mospagesa e kuotave të anëtarësisë sjell penalitete të cilat çdo organizatë i ka të përcaktuara qartë të rregulloret e funksionimit të tyre, ku përfshihen heqja e te drejtës për pjesëmarrje në organe të organizatës, heqja e se drejtës së votës për delegacionin e parlamentit që nuk kryen pagesat etj.</w:t>
      </w:r>
    </w:p>
    <w:p w:rsidR="00E24310" w:rsidRPr="00CC6A9A" w:rsidRDefault="00E24310" w:rsidP="00E24310">
      <w:pPr>
        <w:jc w:val="both"/>
        <w:rPr>
          <w:rFonts w:ascii="Times New Roman" w:hAnsi="Times New Roman" w:cs="Times New Roman"/>
          <w:b/>
          <w:i/>
          <w:sz w:val="26"/>
          <w:szCs w:val="26"/>
          <w:u w:val="single"/>
          <w:lang w:val="sq-AL"/>
        </w:rPr>
      </w:pPr>
      <w:r w:rsidRPr="00CC6A9A">
        <w:rPr>
          <w:rFonts w:ascii="Times New Roman" w:hAnsi="Times New Roman" w:cs="Times New Roman"/>
          <w:b/>
          <w:i/>
          <w:sz w:val="26"/>
          <w:szCs w:val="26"/>
          <w:lang w:val="sq-AL"/>
        </w:rPr>
        <w:t>d</w:t>
      </w:r>
      <w:r w:rsidRPr="00CC6A9A">
        <w:rPr>
          <w:rFonts w:ascii="Times New Roman" w:hAnsi="Times New Roman" w:cs="Times New Roman"/>
          <w:b/>
          <w:i/>
          <w:sz w:val="26"/>
          <w:szCs w:val="26"/>
          <w:u w:val="single"/>
          <w:lang w:val="sq-AL"/>
        </w:rPr>
        <w:t>.Investimet kapitale</w:t>
      </w:r>
    </w:p>
    <w:p w:rsidR="00E24310" w:rsidRPr="00CC6A9A" w:rsidRDefault="00E24310" w:rsidP="00E24310">
      <w:pPr>
        <w:jc w:val="both"/>
        <w:rPr>
          <w:rFonts w:ascii="Times New Roman" w:hAnsi="Times New Roman" w:cs="Times New Roman"/>
          <w:color w:val="000000"/>
          <w:sz w:val="24"/>
          <w:szCs w:val="24"/>
          <w:lang w:val="sq-AL"/>
        </w:rPr>
      </w:pPr>
      <w:r w:rsidRPr="00CC6A9A">
        <w:rPr>
          <w:rFonts w:ascii="Times New Roman" w:hAnsi="Times New Roman" w:cs="Times New Roman"/>
          <w:color w:val="000000"/>
          <w:sz w:val="24"/>
          <w:szCs w:val="24"/>
          <w:lang w:val="sq-AL"/>
        </w:rPr>
        <w:t>Ligji “Për buxhetin e vitit 2018“ i ka akorduar Kuvendit 124 milion lekë investime, nga buxheti i shtetit dhe 25 milion me financime të huaja, ku përfshihet projekti “Instalim i sistemit Audio Video në sallat e mbledhjeve të Komisioneve Parlamentare”.</w:t>
      </w:r>
    </w:p>
    <w:p w:rsidR="00E24310" w:rsidRPr="00CC6A9A" w:rsidRDefault="00E24310" w:rsidP="00E24310">
      <w:pPr>
        <w:jc w:val="both"/>
        <w:rPr>
          <w:rFonts w:ascii="Times New Roman" w:hAnsi="Times New Roman" w:cs="Times New Roman"/>
          <w:color w:val="000000"/>
          <w:sz w:val="24"/>
          <w:szCs w:val="24"/>
          <w:lang w:val="sq-AL"/>
        </w:rPr>
      </w:pPr>
      <w:r w:rsidRPr="00CC6A9A">
        <w:rPr>
          <w:rFonts w:ascii="Times New Roman" w:hAnsi="Times New Roman" w:cs="Times New Roman"/>
          <w:color w:val="000000"/>
          <w:sz w:val="24"/>
          <w:szCs w:val="24"/>
          <w:lang w:val="sq-AL"/>
        </w:rPr>
        <w:t>Ky projekt, i financuar në kuadër të projektit të binjakëzimit IPA është tenderuar, ndjekur në realizim kontrate dhe financuar nga Ministria e Financave, CFCU. Për vitin 2018, nuk është</w:t>
      </w:r>
      <w:r>
        <w:rPr>
          <w:rFonts w:ascii="Times New Roman" w:hAnsi="Times New Roman" w:cs="Times New Roman"/>
          <w:color w:val="000000"/>
          <w:sz w:val="24"/>
          <w:szCs w:val="24"/>
          <w:lang w:val="sq-AL"/>
        </w:rPr>
        <w:t xml:space="preserve"> bërë kalim kapital apo procedu</w:t>
      </w:r>
      <w:r w:rsidRPr="00CC6A9A">
        <w:rPr>
          <w:rFonts w:ascii="Times New Roman" w:hAnsi="Times New Roman" w:cs="Times New Roman"/>
          <w:color w:val="000000"/>
          <w:sz w:val="24"/>
          <w:szCs w:val="24"/>
          <w:lang w:val="sq-AL"/>
        </w:rPr>
        <w:t>rë marr</w:t>
      </w:r>
      <w:r>
        <w:rPr>
          <w:rFonts w:ascii="Times New Roman" w:hAnsi="Times New Roman" w:cs="Times New Roman"/>
          <w:color w:val="000000"/>
          <w:sz w:val="24"/>
          <w:szCs w:val="24"/>
          <w:lang w:val="sq-AL"/>
        </w:rPr>
        <w:t>je në dorëzim nga Ministria e Fi</w:t>
      </w:r>
      <w:r w:rsidRPr="00CC6A9A">
        <w:rPr>
          <w:rFonts w:ascii="Times New Roman" w:hAnsi="Times New Roman" w:cs="Times New Roman"/>
          <w:color w:val="000000"/>
          <w:sz w:val="24"/>
          <w:szCs w:val="24"/>
          <w:lang w:val="sq-AL"/>
        </w:rPr>
        <w:t>nancave tek Kuvendi i Shqipërisë për këtë investim.</w:t>
      </w:r>
    </w:p>
    <w:p w:rsidR="00E24310" w:rsidRPr="00CC6A9A" w:rsidRDefault="00E24310" w:rsidP="00E24310">
      <w:pPr>
        <w:jc w:val="both"/>
        <w:rPr>
          <w:rFonts w:ascii="Times New Roman" w:hAnsi="Times New Roman" w:cs="Times New Roman"/>
          <w:color w:val="000000"/>
          <w:sz w:val="24"/>
          <w:szCs w:val="24"/>
          <w:lang w:val="sq-AL"/>
        </w:rPr>
      </w:pPr>
    </w:p>
    <w:p w:rsidR="00E24310" w:rsidRPr="00CC6A9A" w:rsidRDefault="00E24310" w:rsidP="00E24310">
      <w:pPr>
        <w:jc w:val="both"/>
        <w:rPr>
          <w:rFonts w:ascii="Times New Roman" w:hAnsi="Times New Roman" w:cs="Times New Roman"/>
          <w:color w:val="000000"/>
          <w:sz w:val="24"/>
          <w:szCs w:val="24"/>
          <w:lang w:val="sq-AL"/>
        </w:rPr>
      </w:pPr>
      <w:r w:rsidRPr="00CC6A9A">
        <w:rPr>
          <w:rFonts w:ascii="Times New Roman" w:hAnsi="Times New Roman" w:cs="Times New Roman"/>
          <w:color w:val="000000"/>
          <w:sz w:val="24"/>
          <w:szCs w:val="24"/>
          <w:lang w:val="sq-AL"/>
        </w:rPr>
        <w:t>Projektet e akorduara me financim të brendshëm (buxheti i shtetit) paraqiten plan fakt në tabelën nr.3 si më poshtë, ku plani paraqitet sipas  aktit normativ nr.2 të dhjetor 2018</w:t>
      </w:r>
    </w:p>
    <w:p w:rsidR="00E24310" w:rsidRPr="00CC6A9A" w:rsidRDefault="00E24310" w:rsidP="00E24310">
      <w:pPr>
        <w:jc w:val="both"/>
        <w:rPr>
          <w:rFonts w:ascii="Times New Roman" w:hAnsi="Times New Roman" w:cs="Times New Roman"/>
          <w:color w:val="000000"/>
          <w:sz w:val="24"/>
          <w:szCs w:val="24"/>
          <w:lang w:val="sq-AL"/>
        </w:rPr>
      </w:pPr>
      <w:r w:rsidRPr="00CC6A9A">
        <w:rPr>
          <w:rFonts w:ascii="Times New Roman" w:hAnsi="Times New Roman" w:cs="Times New Roman"/>
          <w:color w:val="000000"/>
          <w:sz w:val="24"/>
          <w:szCs w:val="24"/>
          <w:lang w:val="sq-AL"/>
        </w:rPr>
        <w:t>Tabela nr.3</w:t>
      </w:r>
    </w:p>
    <w:tbl>
      <w:tblPr>
        <w:tblW w:w="9639" w:type="dxa"/>
        <w:tblLook w:val="04A0" w:firstRow="1" w:lastRow="0" w:firstColumn="1" w:lastColumn="0" w:noHBand="0" w:noVBand="1"/>
      </w:tblPr>
      <w:tblGrid>
        <w:gridCol w:w="5103"/>
        <w:gridCol w:w="1560"/>
        <w:gridCol w:w="1559"/>
        <w:gridCol w:w="1422"/>
      </w:tblGrid>
      <w:tr w:rsidR="00E24310" w:rsidRPr="00CC6A9A" w:rsidTr="008412C7">
        <w:trPr>
          <w:trHeight w:val="315"/>
        </w:trPr>
        <w:tc>
          <w:tcPr>
            <w:tcW w:w="6663" w:type="dxa"/>
            <w:gridSpan w:val="2"/>
            <w:noWrap/>
            <w:vAlign w:val="bottom"/>
            <w:hideMark/>
          </w:tcPr>
          <w:p w:rsidR="00E24310" w:rsidRPr="00CC6A9A" w:rsidRDefault="00E24310" w:rsidP="008412C7">
            <w:pPr>
              <w:rPr>
                <w:rFonts w:ascii="Times New Roman" w:hAnsi="Times New Roman" w:cs="Times New Roman"/>
                <w:color w:val="000000"/>
                <w:sz w:val="24"/>
                <w:szCs w:val="24"/>
                <w:lang w:val="sq-AL"/>
              </w:rPr>
            </w:pPr>
          </w:p>
        </w:tc>
        <w:tc>
          <w:tcPr>
            <w:tcW w:w="1559" w:type="dxa"/>
            <w:noWrap/>
            <w:vAlign w:val="bottom"/>
            <w:hideMark/>
          </w:tcPr>
          <w:p w:rsidR="00E24310" w:rsidRPr="00CC6A9A" w:rsidRDefault="00E24310" w:rsidP="008412C7">
            <w:pPr>
              <w:rPr>
                <w:sz w:val="20"/>
                <w:szCs w:val="20"/>
                <w:lang w:val="sq-AL" w:eastAsia="en-US"/>
              </w:rPr>
            </w:pPr>
          </w:p>
        </w:tc>
        <w:tc>
          <w:tcPr>
            <w:tcW w:w="1417" w:type="dxa"/>
            <w:noWrap/>
            <w:vAlign w:val="bottom"/>
            <w:hideMark/>
          </w:tcPr>
          <w:p w:rsidR="00E24310" w:rsidRPr="00CC6A9A" w:rsidRDefault="00E24310" w:rsidP="008412C7">
            <w:pPr>
              <w:spacing w:after="0" w:line="240" w:lineRule="auto"/>
              <w:rPr>
                <w:rFonts w:ascii="Calibri" w:eastAsia="Times New Roman" w:hAnsi="Calibri" w:cs="Times New Roman"/>
                <w:color w:val="000000"/>
                <w:lang w:val="sq-AL" w:eastAsia="sq-AL"/>
              </w:rPr>
            </w:pPr>
            <w:r w:rsidRPr="00CC6A9A">
              <w:rPr>
                <w:rFonts w:ascii="Calibri" w:eastAsia="Times New Roman" w:hAnsi="Calibri" w:cs="Times New Roman"/>
                <w:color w:val="000000"/>
                <w:lang w:val="sq-AL" w:eastAsia="sq-AL"/>
              </w:rPr>
              <w:t>në lekë</w:t>
            </w:r>
          </w:p>
        </w:tc>
      </w:tr>
      <w:tr w:rsidR="00E24310" w:rsidRPr="00CC6A9A" w:rsidTr="008412C7">
        <w:trPr>
          <w:trHeight w:val="693"/>
        </w:trPr>
        <w:tc>
          <w:tcPr>
            <w:tcW w:w="5103" w:type="dxa"/>
            <w:tcBorders>
              <w:top w:val="double" w:sz="6" w:space="0" w:color="auto"/>
              <w:left w:val="double" w:sz="6" w:space="0" w:color="auto"/>
              <w:bottom w:val="single" w:sz="4" w:space="0" w:color="auto"/>
              <w:right w:val="single" w:sz="4" w:space="0" w:color="auto"/>
            </w:tcBorders>
            <w:shd w:val="clear" w:color="auto" w:fill="F2DCDB"/>
            <w:vAlign w:val="center"/>
            <w:hideMark/>
          </w:tcPr>
          <w:p w:rsidR="00E24310" w:rsidRPr="00CC6A9A" w:rsidRDefault="00E24310" w:rsidP="008412C7">
            <w:pPr>
              <w:spacing w:after="0" w:line="240" w:lineRule="auto"/>
              <w:jc w:val="center"/>
              <w:rPr>
                <w:rFonts w:ascii="Arial" w:eastAsia="Times New Roman" w:hAnsi="Arial" w:cs="Arial"/>
                <w:b/>
                <w:bCs/>
                <w:sz w:val="24"/>
                <w:szCs w:val="24"/>
                <w:lang w:val="sq-AL" w:eastAsia="sq-AL"/>
              </w:rPr>
            </w:pPr>
            <w:r w:rsidRPr="00CC6A9A">
              <w:rPr>
                <w:rFonts w:ascii="Arial" w:eastAsia="Times New Roman" w:hAnsi="Arial" w:cs="Arial"/>
                <w:b/>
                <w:bCs/>
                <w:sz w:val="24"/>
                <w:szCs w:val="24"/>
                <w:lang w:val="sq-AL" w:eastAsia="sq-AL"/>
              </w:rPr>
              <w:t>Emërtimi I projektit</w:t>
            </w:r>
          </w:p>
        </w:tc>
        <w:tc>
          <w:tcPr>
            <w:tcW w:w="1560" w:type="dxa"/>
            <w:tcBorders>
              <w:top w:val="double" w:sz="6" w:space="0" w:color="auto"/>
              <w:left w:val="nil"/>
              <w:bottom w:val="single" w:sz="4" w:space="0" w:color="auto"/>
              <w:right w:val="single" w:sz="4" w:space="0" w:color="auto"/>
            </w:tcBorders>
            <w:shd w:val="clear" w:color="auto" w:fill="F2DCDB"/>
            <w:vAlign w:val="center"/>
            <w:hideMark/>
          </w:tcPr>
          <w:p w:rsidR="00E24310" w:rsidRPr="00CC6A9A" w:rsidRDefault="00E24310" w:rsidP="008412C7">
            <w:pPr>
              <w:spacing w:after="0" w:line="240" w:lineRule="auto"/>
              <w:jc w:val="center"/>
              <w:rPr>
                <w:rFonts w:ascii="Arial" w:eastAsia="Times New Roman" w:hAnsi="Arial" w:cs="Arial"/>
                <w:b/>
                <w:bCs/>
                <w:sz w:val="20"/>
                <w:szCs w:val="20"/>
                <w:lang w:val="sq-AL" w:eastAsia="sq-AL"/>
              </w:rPr>
            </w:pPr>
            <w:r w:rsidRPr="00CC6A9A">
              <w:rPr>
                <w:rFonts w:ascii="Arial" w:eastAsia="Times New Roman" w:hAnsi="Arial" w:cs="Arial"/>
                <w:b/>
                <w:bCs/>
                <w:sz w:val="20"/>
                <w:szCs w:val="20"/>
                <w:lang w:val="sq-AL" w:eastAsia="sq-AL"/>
              </w:rPr>
              <w:t>Plani vitit 2018</w:t>
            </w:r>
          </w:p>
        </w:tc>
        <w:tc>
          <w:tcPr>
            <w:tcW w:w="1559" w:type="dxa"/>
            <w:tcBorders>
              <w:top w:val="double" w:sz="6" w:space="0" w:color="auto"/>
              <w:left w:val="nil"/>
              <w:bottom w:val="single" w:sz="4" w:space="0" w:color="auto"/>
              <w:right w:val="double" w:sz="6" w:space="0" w:color="auto"/>
            </w:tcBorders>
            <w:shd w:val="clear" w:color="auto" w:fill="F2DCDB"/>
            <w:vAlign w:val="center"/>
            <w:hideMark/>
          </w:tcPr>
          <w:p w:rsidR="00E24310" w:rsidRPr="00CC6A9A" w:rsidRDefault="00E24310" w:rsidP="008412C7">
            <w:pPr>
              <w:spacing w:after="0" w:line="240" w:lineRule="auto"/>
              <w:jc w:val="center"/>
              <w:rPr>
                <w:rFonts w:ascii="Arial" w:eastAsia="Times New Roman" w:hAnsi="Arial" w:cs="Arial"/>
                <w:b/>
                <w:bCs/>
                <w:sz w:val="20"/>
                <w:szCs w:val="20"/>
                <w:lang w:val="sq-AL" w:eastAsia="sq-AL"/>
              </w:rPr>
            </w:pPr>
            <w:r w:rsidRPr="00CC6A9A">
              <w:rPr>
                <w:rFonts w:ascii="Arial" w:eastAsia="Times New Roman" w:hAnsi="Arial" w:cs="Arial"/>
                <w:b/>
                <w:bCs/>
                <w:sz w:val="20"/>
                <w:szCs w:val="20"/>
                <w:lang w:val="sq-AL" w:eastAsia="sq-AL"/>
              </w:rPr>
              <w:t>fakti vitit 2018</w:t>
            </w:r>
          </w:p>
        </w:tc>
        <w:tc>
          <w:tcPr>
            <w:tcW w:w="1417" w:type="dxa"/>
            <w:tcBorders>
              <w:top w:val="double" w:sz="6" w:space="0" w:color="auto"/>
              <w:left w:val="single" w:sz="4" w:space="0" w:color="auto"/>
              <w:bottom w:val="single" w:sz="4" w:space="0" w:color="auto"/>
              <w:right w:val="double" w:sz="6" w:space="0" w:color="auto"/>
            </w:tcBorders>
            <w:shd w:val="clear" w:color="auto" w:fill="F2DCDB"/>
            <w:vAlign w:val="center"/>
            <w:hideMark/>
          </w:tcPr>
          <w:p w:rsidR="00E24310" w:rsidRPr="00CC6A9A" w:rsidRDefault="00E24310" w:rsidP="008412C7">
            <w:pPr>
              <w:spacing w:after="0" w:line="240" w:lineRule="auto"/>
              <w:jc w:val="center"/>
              <w:rPr>
                <w:rFonts w:ascii="Arial" w:eastAsia="Times New Roman" w:hAnsi="Arial" w:cs="Arial"/>
                <w:b/>
                <w:bCs/>
                <w:sz w:val="20"/>
                <w:szCs w:val="20"/>
                <w:lang w:val="sq-AL" w:eastAsia="sq-AL"/>
              </w:rPr>
            </w:pPr>
            <w:r w:rsidRPr="00CC6A9A">
              <w:rPr>
                <w:rFonts w:ascii="Arial" w:eastAsia="Times New Roman" w:hAnsi="Arial" w:cs="Arial"/>
                <w:b/>
                <w:bCs/>
                <w:sz w:val="20"/>
                <w:szCs w:val="20"/>
                <w:lang w:val="sq-AL" w:eastAsia="sq-AL"/>
              </w:rPr>
              <w:t>realizimi në përqindje</w:t>
            </w:r>
          </w:p>
        </w:tc>
      </w:tr>
      <w:tr w:rsidR="00E24310" w:rsidRPr="00CC6A9A" w:rsidTr="008412C7">
        <w:trPr>
          <w:trHeight w:val="450"/>
        </w:trPr>
        <w:tc>
          <w:tcPr>
            <w:tcW w:w="5103" w:type="dxa"/>
            <w:tcBorders>
              <w:top w:val="nil"/>
              <w:left w:val="double" w:sz="6" w:space="0" w:color="auto"/>
              <w:bottom w:val="single" w:sz="4" w:space="0" w:color="auto"/>
              <w:right w:val="single" w:sz="4" w:space="0" w:color="auto"/>
            </w:tcBorders>
            <w:shd w:val="clear" w:color="auto" w:fill="DCE6F1"/>
            <w:vAlign w:val="center"/>
            <w:hideMark/>
          </w:tcPr>
          <w:p w:rsidR="00E24310" w:rsidRPr="00CC6A9A" w:rsidRDefault="00E24310" w:rsidP="008412C7">
            <w:pPr>
              <w:spacing w:after="0" w:line="240" w:lineRule="auto"/>
              <w:jc w:val="center"/>
              <w:rPr>
                <w:rFonts w:ascii="Arial" w:eastAsia="Times New Roman" w:hAnsi="Arial" w:cs="Arial"/>
                <w:b/>
                <w:bCs/>
                <w:sz w:val="24"/>
                <w:szCs w:val="24"/>
                <w:lang w:val="sq-AL" w:eastAsia="sq-AL"/>
              </w:rPr>
            </w:pPr>
            <w:r w:rsidRPr="00CC6A9A">
              <w:rPr>
                <w:rFonts w:ascii="Arial" w:eastAsia="Times New Roman" w:hAnsi="Arial" w:cs="Arial"/>
                <w:b/>
                <w:bCs/>
                <w:sz w:val="24"/>
                <w:szCs w:val="24"/>
                <w:lang w:val="sq-AL" w:eastAsia="sq-AL"/>
              </w:rPr>
              <w:t>a</w:t>
            </w:r>
          </w:p>
        </w:tc>
        <w:tc>
          <w:tcPr>
            <w:tcW w:w="1560" w:type="dxa"/>
            <w:tcBorders>
              <w:top w:val="nil"/>
              <w:left w:val="nil"/>
              <w:bottom w:val="single" w:sz="4" w:space="0" w:color="auto"/>
              <w:right w:val="single" w:sz="4" w:space="0" w:color="auto"/>
            </w:tcBorders>
            <w:shd w:val="clear" w:color="auto" w:fill="DCE6F1"/>
            <w:vAlign w:val="center"/>
            <w:hideMark/>
          </w:tcPr>
          <w:p w:rsidR="00E24310" w:rsidRPr="00CC6A9A" w:rsidRDefault="00E24310" w:rsidP="008412C7">
            <w:pPr>
              <w:spacing w:after="0" w:line="240" w:lineRule="auto"/>
              <w:jc w:val="right"/>
              <w:rPr>
                <w:rFonts w:ascii="Arial" w:eastAsia="Times New Roman" w:hAnsi="Arial" w:cs="Arial"/>
                <w:b/>
                <w:bCs/>
                <w:sz w:val="24"/>
                <w:szCs w:val="24"/>
                <w:lang w:val="sq-AL" w:eastAsia="sq-AL"/>
              </w:rPr>
            </w:pPr>
            <w:r w:rsidRPr="00CC6A9A">
              <w:rPr>
                <w:rFonts w:ascii="Arial" w:eastAsia="Times New Roman" w:hAnsi="Arial" w:cs="Arial"/>
                <w:b/>
                <w:bCs/>
                <w:sz w:val="24"/>
                <w:szCs w:val="24"/>
                <w:lang w:val="sq-AL" w:eastAsia="sq-AL"/>
              </w:rPr>
              <w:t>1</w:t>
            </w:r>
          </w:p>
        </w:tc>
        <w:tc>
          <w:tcPr>
            <w:tcW w:w="1559" w:type="dxa"/>
            <w:tcBorders>
              <w:top w:val="nil"/>
              <w:left w:val="nil"/>
              <w:bottom w:val="single" w:sz="4" w:space="0" w:color="auto"/>
              <w:right w:val="single" w:sz="4" w:space="0" w:color="auto"/>
            </w:tcBorders>
            <w:shd w:val="clear" w:color="auto" w:fill="DCE6F1"/>
            <w:vAlign w:val="center"/>
            <w:hideMark/>
          </w:tcPr>
          <w:p w:rsidR="00E24310" w:rsidRPr="00CC6A9A" w:rsidRDefault="00E24310" w:rsidP="008412C7">
            <w:pPr>
              <w:spacing w:after="0" w:line="240" w:lineRule="auto"/>
              <w:jc w:val="right"/>
              <w:rPr>
                <w:rFonts w:ascii="Arial" w:eastAsia="Times New Roman" w:hAnsi="Arial" w:cs="Arial"/>
                <w:b/>
                <w:bCs/>
                <w:sz w:val="24"/>
                <w:szCs w:val="24"/>
                <w:lang w:val="sq-AL" w:eastAsia="sq-AL"/>
              </w:rPr>
            </w:pPr>
            <w:r w:rsidRPr="00CC6A9A">
              <w:rPr>
                <w:rFonts w:ascii="Arial" w:eastAsia="Times New Roman" w:hAnsi="Arial" w:cs="Arial"/>
                <w:b/>
                <w:bCs/>
                <w:sz w:val="24"/>
                <w:szCs w:val="24"/>
                <w:lang w:val="sq-AL" w:eastAsia="sq-AL"/>
              </w:rPr>
              <w:t>2</w:t>
            </w:r>
          </w:p>
        </w:tc>
        <w:tc>
          <w:tcPr>
            <w:tcW w:w="1417" w:type="dxa"/>
            <w:tcBorders>
              <w:top w:val="nil"/>
              <w:left w:val="nil"/>
              <w:bottom w:val="single" w:sz="4" w:space="0" w:color="auto"/>
              <w:right w:val="single" w:sz="4" w:space="0" w:color="auto"/>
            </w:tcBorders>
            <w:shd w:val="clear" w:color="auto" w:fill="DCE6F1"/>
            <w:vAlign w:val="center"/>
            <w:hideMark/>
          </w:tcPr>
          <w:p w:rsidR="00E24310" w:rsidRPr="00CC6A9A" w:rsidRDefault="00E24310" w:rsidP="008412C7">
            <w:pPr>
              <w:spacing w:after="0" w:line="240" w:lineRule="auto"/>
              <w:jc w:val="right"/>
              <w:rPr>
                <w:rFonts w:ascii="Arial" w:eastAsia="Times New Roman" w:hAnsi="Arial" w:cs="Arial"/>
                <w:b/>
                <w:bCs/>
                <w:sz w:val="24"/>
                <w:szCs w:val="24"/>
                <w:lang w:val="sq-AL" w:eastAsia="sq-AL"/>
              </w:rPr>
            </w:pPr>
            <w:r w:rsidRPr="00CC6A9A">
              <w:rPr>
                <w:rFonts w:ascii="Arial" w:eastAsia="Times New Roman" w:hAnsi="Arial" w:cs="Arial"/>
                <w:b/>
                <w:bCs/>
                <w:sz w:val="24"/>
                <w:szCs w:val="24"/>
                <w:lang w:val="sq-AL" w:eastAsia="sq-AL"/>
              </w:rPr>
              <w:t>3=2/1</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Upgrade per pajisjen san Storage</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923.000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922.643</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100%</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Press point</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796.000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795.600</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100%</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Fond libri</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352.000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268.292</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76.2%</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Vendqëndrim i gazetareve</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678.000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678.000</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100%</w:t>
            </w:r>
          </w:p>
        </w:tc>
      </w:tr>
      <w:tr w:rsidR="00E24310" w:rsidRPr="00CC6A9A" w:rsidTr="008412C7">
        <w:trPr>
          <w:trHeight w:val="645"/>
        </w:trPr>
        <w:tc>
          <w:tcPr>
            <w:tcW w:w="5103" w:type="dxa"/>
            <w:tcBorders>
              <w:top w:val="nil"/>
              <w:left w:val="double" w:sz="6" w:space="0" w:color="auto"/>
              <w:bottom w:val="single" w:sz="4" w:space="0" w:color="auto"/>
              <w:right w:val="single" w:sz="4" w:space="0" w:color="auto"/>
            </w:tcBorders>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Rikonstruksion i ambienteve te brendshme te Kryesia e Kuvendit</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5.000.000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4.193.222</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83.86%</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Blerje autovetura</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35.256.000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35.256.000</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100%</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 xml:space="preserve">Blerje pajisje </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26.845.000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color w:val="000000"/>
                <w:lang w:val="sq-AL" w:eastAsia="sq-AL"/>
              </w:rPr>
            </w:pPr>
            <w:r w:rsidRPr="00CC6A9A">
              <w:rPr>
                <w:rFonts w:ascii="Arial" w:eastAsia="Times New Roman" w:hAnsi="Arial" w:cs="Arial"/>
                <w:color w:val="000000"/>
                <w:lang w:val="sq-AL" w:eastAsia="sq-AL"/>
              </w:rPr>
              <w:t>21.863.641</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81.44%</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TVSH IPA</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12.400.000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12.090.619</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98%</w:t>
            </w:r>
          </w:p>
        </w:tc>
      </w:tr>
      <w:tr w:rsidR="00E24310" w:rsidRPr="00CC6A9A" w:rsidTr="008412C7">
        <w:trPr>
          <w:trHeight w:val="270"/>
        </w:trPr>
        <w:tc>
          <w:tcPr>
            <w:tcW w:w="5103" w:type="dxa"/>
            <w:tcBorders>
              <w:top w:val="nil"/>
              <w:left w:val="double" w:sz="6" w:space="0" w:color="auto"/>
              <w:bottom w:val="single" w:sz="4" w:space="0" w:color="auto"/>
              <w:right w:val="single" w:sz="4" w:space="0" w:color="auto"/>
            </w:tcBorders>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Projekt për</w:t>
            </w:r>
            <w:r>
              <w:rPr>
                <w:rFonts w:ascii="Times New Roman" w:eastAsia="Times New Roman" w:hAnsi="Times New Roman" w:cs="Times New Roman"/>
                <w:lang w:val="sq-AL" w:eastAsia="sq-AL"/>
              </w:rPr>
              <w:t xml:space="preserve"> rikonstruksion te ambienteve të</w:t>
            </w:r>
            <w:r w:rsidRPr="00CC6A9A">
              <w:rPr>
                <w:rFonts w:ascii="Times New Roman" w:eastAsia="Times New Roman" w:hAnsi="Times New Roman" w:cs="Times New Roman"/>
                <w:lang w:val="sq-AL" w:eastAsia="sq-AL"/>
              </w:rPr>
              <w:t xml:space="preserve"> Kryesisë (bodrum)</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200.000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180.000</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90%</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 xml:space="preserve">Projekt për </w:t>
            </w:r>
            <w:r>
              <w:rPr>
                <w:rFonts w:ascii="Times New Roman" w:eastAsia="Times New Roman" w:hAnsi="Times New Roman" w:cs="Times New Roman"/>
                <w:lang w:val="sq-AL" w:eastAsia="sq-AL"/>
              </w:rPr>
              <w:t>rikonstruksion të</w:t>
            </w:r>
            <w:r w:rsidRPr="00CC6A9A">
              <w:rPr>
                <w:rFonts w:ascii="Times New Roman" w:eastAsia="Times New Roman" w:hAnsi="Times New Roman" w:cs="Times New Roman"/>
                <w:lang w:val="sq-AL" w:eastAsia="sq-AL"/>
              </w:rPr>
              <w:t xml:space="preserve"> parkut</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200.000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192.000</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96%</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Projekt për</w:t>
            </w:r>
            <w:r>
              <w:rPr>
                <w:rFonts w:ascii="Times New Roman" w:eastAsia="Times New Roman" w:hAnsi="Times New Roman" w:cs="Times New Roman"/>
                <w:lang w:val="sq-AL" w:eastAsia="sq-AL"/>
              </w:rPr>
              <w:t xml:space="preserve"> rikonstruksion të</w:t>
            </w:r>
            <w:r w:rsidRPr="00CC6A9A">
              <w:rPr>
                <w:rFonts w:ascii="Times New Roman" w:eastAsia="Times New Roman" w:hAnsi="Times New Roman" w:cs="Times New Roman"/>
                <w:lang w:val="sq-AL" w:eastAsia="sq-AL"/>
              </w:rPr>
              <w:t xml:space="preserve"> rrjetit elektrik</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800.000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792.000</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99%</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Aplikacion "Kuvendi i Shqipërisë"</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i/>
                <w:iCs/>
                <w:lang w:val="sq-AL" w:eastAsia="sq-AL"/>
              </w:rPr>
            </w:pPr>
            <w:r w:rsidRPr="00CC6A9A">
              <w:rPr>
                <w:rFonts w:ascii="Arial" w:eastAsia="Times New Roman" w:hAnsi="Arial" w:cs="Arial"/>
                <w:i/>
                <w:iCs/>
                <w:lang w:val="sq-AL" w:eastAsia="sq-AL"/>
              </w:rPr>
              <w:t>3.750.000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Calibri" w:eastAsia="Times New Roman" w:hAnsi="Calibri" w:cs="Times New Roman"/>
                <w:i/>
                <w:iCs/>
                <w:color w:val="000000"/>
                <w:lang w:val="sq-AL" w:eastAsia="sq-AL"/>
              </w:rPr>
            </w:pPr>
            <w:r w:rsidRPr="00CC6A9A">
              <w:rPr>
                <w:rFonts w:ascii="Calibri" w:eastAsia="Times New Roman" w:hAnsi="Calibri" w:cs="Times New Roman"/>
                <w:i/>
                <w:iCs/>
                <w:color w:val="000000"/>
                <w:lang w:val="sq-AL" w:eastAsia="sq-AL"/>
              </w:rPr>
              <w:t>0</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rPr>
                <w:rFonts w:ascii="Calibri" w:eastAsia="Times New Roman" w:hAnsi="Calibri" w:cs="Times New Roman"/>
                <w:bCs/>
                <w:iCs/>
                <w:color w:val="000000"/>
                <w:lang w:val="sq-AL" w:eastAsia="sq-AL"/>
              </w:rPr>
            </w:pPr>
            <w:r w:rsidRPr="00CC6A9A">
              <w:rPr>
                <w:rFonts w:ascii="Calibri" w:eastAsia="Times New Roman" w:hAnsi="Calibri" w:cs="Times New Roman"/>
                <w:b/>
                <w:bCs/>
                <w:i/>
                <w:iCs/>
                <w:color w:val="000000"/>
                <w:lang w:val="sq-AL" w:eastAsia="sq-AL"/>
              </w:rPr>
              <w:t xml:space="preserve">                 </w:t>
            </w:r>
            <w:r w:rsidRPr="00CC6A9A">
              <w:rPr>
                <w:rFonts w:ascii="Calibri" w:eastAsia="Times New Roman" w:hAnsi="Calibri" w:cs="Times New Roman"/>
                <w:bCs/>
                <w:iCs/>
                <w:color w:val="000000"/>
                <w:lang w:val="sq-AL" w:eastAsia="sq-AL"/>
              </w:rPr>
              <w:t>0%</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Blerje sistem sigurie për e-mail</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1.800.000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Calibri" w:eastAsia="Times New Roman" w:hAnsi="Calibri" w:cs="Times New Roman"/>
                <w:i/>
                <w:iCs/>
                <w:color w:val="000000"/>
                <w:lang w:val="sq-AL" w:eastAsia="sq-AL"/>
              </w:rPr>
            </w:pPr>
            <w:r w:rsidRPr="00CC6A9A">
              <w:rPr>
                <w:rFonts w:ascii="Calibri" w:eastAsia="Times New Roman" w:hAnsi="Calibri" w:cs="Times New Roman"/>
                <w:i/>
                <w:iCs/>
                <w:color w:val="000000"/>
                <w:lang w:val="sq-AL" w:eastAsia="sq-AL"/>
              </w:rPr>
              <w:t>1.800.000</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rPr>
                <w:rFonts w:ascii="Calibri" w:eastAsia="Times New Roman" w:hAnsi="Calibri" w:cs="Times New Roman"/>
                <w:bCs/>
                <w:iCs/>
                <w:color w:val="000000"/>
                <w:lang w:val="sq-AL" w:eastAsia="sq-AL"/>
              </w:rPr>
            </w:pPr>
            <w:r w:rsidRPr="00CC6A9A">
              <w:rPr>
                <w:rFonts w:ascii="Calibri" w:eastAsia="Times New Roman" w:hAnsi="Calibri" w:cs="Times New Roman"/>
                <w:bCs/>
                <w:iCs/>
                <w:color w:val="000000"/>
                <w:lang w:val="sq-AL" w:eastAsia="sq-AL"/>
              </w:rPr>
              <w:t>             100%</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lastRenderedPageBreak/>
              <w:t>Sistem Audio Video për sallën e Grupit Parlamentar</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10.000.000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Calibri" w:eastAsia="Times New Roman" w:hAnsi="Calibri" w:cs="Times New Roman"/>
                <w:color w:val="000000"/>
                <w:lang w:val="sq-AL" w:eastAsia="sq-AL"/>
              </w:rPr>
            </w:pPr>
            <w:r w:rsidRPr="00CC6A9A">
              <w:rPr>
                <w:rFonts w:ascii="Calibri" w:eastAsia="Times New Roman" w:hAnsi="Calibri" w:cs="Times New Roman"/>
                <w:color w:val="000000"/>
                <w:lang w:val="sq-AL" w:eastAsia="sq-AL"/>
              </w:rPr>
              <w:t>0</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rPr>
                <w:rFonts w:ascii="Calibri" w:eastAsia="Times New Roman" w:hAnsi="Calibri" w:cs="Times New Roman"/>
                <w:color w:val="000000"/>
                <w:lang w:val="sq-AL" w:eastAsia="sq-AL"/>
              </w:rPr>
            </w:pPr>
            <w:r w:rsidRPr="00CC6A9A">
              <w:rPr>
                <w:rFonts w:ascii="Calibri" w:eastAsia="Times New Roman" w:hAnsi="Calibri" w:cs="Times New Roman"/>
                <w:color w:val="000000"/>
                <w:lang w:val="sq-AL" w:eastAsia="sq-AL"/>
              </w:rPr>
              <w:t xml:space="preserve">                  0%</w:t>
            </w:r>
          </w:p>
        </w:tc>
      </w:tr>
      <w:tr w:rsidR="00E24310" w:rsidRPr="00CC6A9A" w:rsidTr="008412C7">
        <w:trPr>
          <w:trHeight w:val="300"/>
        </w:trPr>
        <w:tc>
          <w:tcPr>
            <w:tcW w:w="5103" w:type="dxa"/>
            <w:tcBorders>
              <w:top w:val="nil"/>
              <w:left w:val="double" w:sz="6" w:space="0" w:color="auto"/>
              <w:bottom w:val="single" w:sz="4" w:space="0" w:color="auto"/>
              <w:right w:val="single" w:sz="4" w:space="0" w:color="auto"/>
            </w:tcBorders>
            <w:noWrap/>
            <w:vAlign w:val="bottom"/>
            <w:hideMark/>
          </w:tcPr>
          <w:p w:rsidR="00E24310" w:rsidRPr="00CC6A9A" w:rsidRDefault="00E24310" w:rsidP="008412C7">
            <w:pPr>
              <w:spacing w:after="0" w:line="240" w:lineRule="auto"/>
              <w:rPr>
                <w:rFonts w:ascii="Times New Roman" w:eastAsia="Times New Roman" w:hAnsi="Times New Roman" w:cs="Times New Roman"/>
                <w:lang w:val="sq-AL" w:eastAsia="sq-AL"/>
              </w:rPr>
            </w:pPr>
            <w:r w:rsidRPr="00CC6A9A">
              <w:rPr>
                <w:rFonts w:ascii="Times New Roman" w:eastAsia="Times New Roman" w:hAnsi="Times New Roman" w:cs="Times New Roman"/>
                <w:lang w:val="sq-AL" w:eastAsia="sq-AL"/>
              </w:rPr>
              <w:t xml:space="preserve">Live stream, video on demand </w:t>
            </w:r>
          </w:p>
        </w:tc>
        <w:tc>
          <w:tcPr>
            <w:tcW w:w="1560" w:type="dxa"/>
            <w:tcBorders>
              <w:top w:val="nil"/>
              <w:left w:val="nil"/>
              <w:bottom w:val="single" w:sz="4" w:space="0" w:color="auto"/>
              <w:right w:val="single" w:sz="4" w:space="0" w:color="auto"/>
            </w:tcBorders>
            <w:shd w:val="clear" w:color="auto" w:fill="FFFFFF"/>
            <w:noWrap/>
            <w:vAlign w:val="bottom"/>
            <w:hideMark/>
          </w:tcPr>
          <w:p w:rsidR="00E24310" w:rsidRPr="00CC6A9A" w:rsidRDefault="00E24310" w:rsidP="008412C7">
            <w:pPr>
              <w:spacing w:after="0" w:line="240" w:lineRule="auto"/>
              <w:jc w:val="right"/>
              <w:rPr>
                <w:rFonts w:ascii="Arial" w:eastAsia="Times New Roman" w:hAnsi="Arial" w:cs="Arial"/>
                <w:lang w:val="sq-AL" w:eastAsia="sq-AL"/>
              </w:rPr>
            </w:pPr>
            <w:r w:rsidRPr="00CC6A9A">
              <w:rPr>
                <w:rFonts w:ascii="Arial" w:eastAsia="Times New Roman" w:hAnsi="Arial" w:cs="Arial"/>
                <w:lang w:val="sq-AL" w:eastAsia="sq-AL"/>
              </w:rPr>
              <w:t>3.000.000</w:t>
            </w:r>
          </w:p>
        </w:tc>
        <w:tc>
          <w:tcPr>
            <w:tcW w:w="1559" w:type="dxa"/>
            <w:tcBorders>
              <w:top w:val="nil"/>
              <w:left w:val="nil"/>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jc w:val="right"/>
              <w:rPr>
                <w:rFonts w:ascii="Calibri" w:eastAsia="Times New Roman" w:hAnsi="Calibri" w:cs="Times New Roman"/>
                <w:color w:val="000000"/>
                <w:lang w:val="sq-AL" w:eastAsia="sq-AL"/>
              </w:rPr>
            </w:pPr>
            <w:r w:rsidRPr="00CC6A9A">
              <w:rPr>
                <w:rFonts w:ascii="Calibri" w:eastAsia="Times New Roman" w:hAnsi="Calibri" w:cs="Times New Roman"/>
                <w:color w:val="000000"/>
                <w:lang w:val="sq-AL" w:eastAsia="sq-AL"/>
              </w:rPr>
              <w:t>2.863.200</w:t>
            </w:r>
          </w:p>
        </w:tc>
        <w:tc>
          <w:tcPr>
            <w:tcW w:w="1417" w:type="dxa"/>
            <w:tcBorders>
              <w:top w:val="nil"/>
              <w:left w:val="single" w:sz="4" w:space="0" w:color="auto"/>
              <w:bottom w:val="single" w:sz="4" w:space="0" w:color="auto"/>
              <w:right w:val="double" w:sz="6" w:space="0" w:color="auto"/>
            </w:tcBorders>
            <w:shd w:val="clear" w:color="auto" w:fill="FFFFFF"/>
            <w:noWrap/>
            <w:vAlign w:val="bottom"/>
            <w:hideMark/>
          </w:tcPr>
          <w:p w:rsidR="00E24310" w:rsidRPr="00CC6A9A" w:rsidRDefault="00E24310" w:rsidP="008412C7">
            <w:pPr>
              <w:spacing w:after="0" w:line="240" w:lineRule="auto"/>
              <w:rPr>
                <w:rFonts w:ascii="Calibri" w:eastAsia="Times New Roman" w:hAnsi="Calibri" w:cs="Times New Roman"/>
                <w:color w:val="000000"/>
                <w:lang w:val="sq-AL" w:eastAsia="sq-AL"/>
              </w:rPr>
            </w:pPr>
            <w:r w:rsidRPr="00CC6A9A">
              <w:rPr>
                <w:rFonts w:ascii="Calibri" w:eastAsia="Times New Roman" w:hAnsi="Calibri" w:cs="Times New Roman"/>
                <w:color w:val="000000"/>
                <w:lang w:val="sq-AL" w:eastAsia="sq-AL"/>
              </w:rPr>
              <w:t>           95.44%</w:t>
            </w:r>
          </w:p>
        </w:tc>
      </w:tr>
      <w:tr w:rsidR="00E24310" w:rsidRPr="00CC6A9A" w:rsidTr="008412C7">
        <w:trPr>
          <w:trHeight w:val="315"/>
        </w:trPr>
        <w:tc>
          <w:tcPr>
            <w:tcW w:w="5103" w:type="dxa"/>
            <w:tcBorders>
              <w:top w:val="single" w:sz="4" w:space="0" w:color="auto"/>
              <w:left w:val="double" w:sz="6" w:space="0" w:color="auto"/>
              <w:bottom w:val="double" w:sz="6" w:space="0" w:color="auto"/>
              <w:right w:val="single" w:sz="4" w:space="0" w:color="auto"/>
            </w:tcBorders>
            <w:shd w:val="clear" w:color="auto" w:fill="D8E4BC"/>
            <w:noWrap/>
            <w:vAlign w:val="bottom"/>
            <w:hideMark/>
          </w:tcPr>
          <w:p w:rsidR="00E24310" w:rsidRPr="00CC6A9A" w:rsidRDefault="00E24310" w:rsidP="008412C7">
            <w:pPr>
              <w:spacing w:after="0" w:line="240" w:lineRule="auto"/>
              <w:jc w:val="right"/>
              <w:rPr>
                <w:rFonts w:ascii="Arial" w:eastAsia="Times New Roman" w:hAnsi="Arial" w:cs="Arial"/>
                <w:b/>
                <w:bCs/>
                <w:lang w:val="sq-AL" w:eastAsia="sq-AL"/>
              </w:rPr>
            </w:pPr>
            <w:r w:rsidRPr="00CC6A9A">
              <w:rPr>
                <w:rFonts w:ascii="Arial" w:eastAsia="Times New Roman" w:hAnsi="Arial" w:cs="Arial"/>
                <w:b/>
                <w:bCs/>
                <w:lang w:val="sq-AL" w:eastAsia="sq-AL"/>
              </w:rPr>
              <w:t xml:space="preserve">T OT A L I </w:t>
            </w:r>
          </w:p>
        </w:tc>
        <w:tc>
          <w:tcPr>
            <w:tcW w:w="1560" w:type="dxa"/>
            <w:tcBorders>
              <w:top w:val="single" w:sz="4" w:space="0" w:color="auto"/>
              <w:left w:val="nil"/>
              <w:bottom w:val="double" w:sz="6" w:space="0" w:color="auto"/>
              <w:right w:val="single" w:sz="4" w:space="0" w:color="auto"/>
            </w:tcBorders>
            <w:shd w:val="clear" w:color="auto" w:fill="D8E4BC"/>
            <w:noWrap/>
            <w:vAlign w:val="bottom"/>
            <w:hideMark/>
          </w:tcPr>
          <w:p w:rsidR="00E24310" w:rsidRPr="00CC6A9A" w:rsidRDefault="00E24310" w:rsidP="008412C7">
            <w:pPr>
              <w:spacing w:after="0" w:line="240" w:lineRule="auto"/>
              <w:jc w:val="right"/>
              <w:rPr>
                <w:rFonts w:ascii="Arial" w:eastAsia="Times New Roman" w:hAnsi="Arial" w:cs="Arial"/>
                <w:b/>
                <w:bCs/>
                <w:lang w:val="sq-AL" w:eastAsia="sq-AL"/>
              </w:rPr>
            </w:pPr>
            <w:r w:rsidRPr="00CC6A9A">
              <w:rPr>
                <w:rFonts w:ascii="Arial" w:eastAsia="Times New Roman" w:hAnsi="Arial" w:cs="Arial"/>
                <w:b/>
                <w:bCs/>
                <w:lang w:val="sq-AL" w:eastAsia="sq-AL"/>
              </w:rPr>
              <w:t>102.000.000</w:t>
            </w:r>
          </w:p>
        </w:tc>
        <w:tc>
          <w:tcPr>
            <w:tcW w:w="1559" w:type="dxa"/>
            <w:tcBorders>
              <w:top w:val="single" w:sz="4" w:space="0" w:color="auto"/>
              <w:left w:val="nil"/>
              <w:bottom w:val="double" w:sz="6" w:space="0" w:color="auto"/>
              <w:right w:val="double" w:sz="6" w:space="0" w:color="auto"/>
            </w:tcBorders>
            <w:shd w:val="clear" w:color="auto" w:fill="DDD9C4"/>
            <w:noWrap/>
            <w:vAlign w:val="bottom"/>
            <w:hideMark/>
          </w:tcPr>
          <w:p w:rsidR="00E24310" w:rsidRPr="00CC6A9A" w:rsidRDefault="00E24310" w:rsidP="008412C7">
            <w:pPr>
              <w:spacing w:after="0" w:line="240" w:lineRule="auto"/>
              <w:jc w:val="right"/>
              <w:rPr>
                <w:rFonts w:ascii="Arial" w:eastAsia="Times New Roman" w:hAnsi="Arial" w:cs="Arial"/>
                <w:b/>
                <w:bCs/>
                <w:lang w:val="sq-AL" w:eastAsia="sq-AL"/>
              </w:rPr>
            </w:pPr>
            <w:r w:rsidRPr="00CC6A9A">
              <w:rPr>
                <w:rFonts w:ascii="Arial" w:eastAsia="Times New Roman" w:hAnsi="Arial" w:cs="Arial"/>
                <w:b/>
                <w:bCs/>
                <w:lang w:val="sq-AL" w:eastAsia="sq-AL"/>
              </w:rPr>
              <w:t>81.895.217</w:t>
            </w:r>
          </w:p>
        </w:tc>
        <w:tc>
          <w:tcPr>
            <w:tcW w:w="1417" w:type="dxa"/>
            <w:tcBorders>
              <w:top w:val="single" w:sz="4" w:space="0" w:color="auto"/>
              <w:left w:val="single" w:sz="4" w:space="0" w:color="auto"/>
              <w:bottom w:val="double" w:sz="6" w:space="0" w:color="auto"/>
              <w:right w:val="double" w:sz="6" w:space="0" w:color="auto"/>
            </w:tcBorders>
            <w:shd w:val="clear" w:color="auto" w:fill="DDD9C4"/>
            <w:noWrap/>
            <w:vAlign w:val="bottom"/>
            <w:hideMark/>
          </w:tcPr>
          <w:p w:rsidR="00E24310" w:rsidRPr="00CC6A9A" w:rsidRDefault="00E24310" w:rsidP="008412C7">
            <w:pPr>
              <w:spacing w:after="0" w:line="240" w:lineRule="auto"/>
              <w:jc w:val="right"/>
              <w:rPr>
                <w:rFonts w:ascii="Arial" w:eastAsia="Times New Roman" w:hAnsi="Arial" w:cs="Arial"/>
                <w:b/>
                <w:bCs/>
                <w:lang w:val="sq-AL" w:eastAsia="sq-AL"/>
              </w:rPr>
            </w:pPr>
            <w:r w:rsidRPr="00CC6A9A">
              <w:rPr>
                <w:rFonts w:ascii="Arial" w:eastAsia="Times New Roman" w:hAnsi="Arial" w:cs="Arial"/>
                <w:b/>
                <w:bCs/>
                <w:lang w:val="sq-AL" w:eastAsia="sq-AL"/>
              </w:rPr>
              <w:t>80.28% </w:t>
            </w:r>
          </w:p>
        </w:tc>
      </w:tr>
    </w:tbl>
    <w:p w:rsidR="00E24310" w:rsidRPr="00CC6A9A" w:rsidRDefault="00E24310" w:rsidP="00E24310">
      <w:pPr>
        <w:jc w:val="both"/>
        <w:rPr>
          <w:rFonts w:ascii="Times New Roman" w:hAnsi="Times New Roman" w:cs="Times New Roman"/>
          <w:sz w:val="24"/>
          <w:szCs w:val="24"/>
          <w:lang w:val="sq-AL"/>
        </w:rPr>
      </w:pPr>
    </w:p>
    <w:p w:rsidR="00E24310" w:rsidRPr="00CC6A9A" w:rsidRDefault="00E24310" w:rsidP="00E24310">
      <w:pPr>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 xml:space="preserve">Siç shihet nga tabela, një pjesë e investimeve janë realizuar përfundimisht, duke shënuar një realizim të 80.28 % të planit të tyre. </w:t>
      </w:r>
    </w:p>
    <w:p w:rsidR="00E24310" w:rsidRPr="00CC6A9A" w:rsidRDefault="00E24310" w:rsidP="00E24310">
      <w:pPr>
        <w:jc w:val="both"/>
        <w:rPr>
          <w:rFonts w:ascii="Times New Roman" w:hAnsi="Times New Roman" w:cs="Times New Roman"/>
          <w:sz w:val="24"/>
          <w:szCs w:val="24"/>
          <w:lang w:val="sq-AL"/>
        </w:rPr>
      </w:pPr>
      <w:r w:rsidRPr="00CC6A9A">
        <w:rPr>
          <w:rFonts w:ascii="Times New Roman" w:hAnsi="Times New Roman" w:cs="Times New Roman"/>
          <w:sz w:val="24"/>
          <w:szCs w:val="24"/>
          <w:lang w:val="sq-AL"/>
        </w:rPr>
        <w:t>Dy projekte nuk u arritën të realizohen me fondet e vitit 2018</w:t>
      </w:r>
      <w:r w:rsidR="00606686">
        <w:rPr>
          <w:rFonts w:ascii="Times New Roman" w:hAnsi="Times New Roman" w:cs="Times New Roman"/>
          <w:sz w:val="24"/>
          <w:szCs w:val="24"/>
          <w:lang w:val="sq-AL"/>
        </w:rPr>
        <w:t xml:space="preserve">, </w:t>
      </w:r>
      <w:r w:rsidRPr="00CC6A9A">
        <w:rPr>
          <w:rFonts w:ascii="Times New Roman" w:hAnsi="Times New Roman" w:cs="Times New Roman"/>
          <w:sz w:val="24"/>
          <w:szCs w:val="24"/>
          <w:lang w:val="sq-AL"/>
        </w:rPr>
        <w:t>.</w:t>
      </w:r>
    </w:p>
    <w:p w:rsidR="00FA715E" w:rsidRPr="00C03FEF" w:rsidRDefault="00FA715E" w:rsidP="00FA715E">
      <w:pPr>
        <w:ind w:left="-567"/>
        <w:rPr>
          <w:lang w:val="it-IT"/>
        </w:rPr>
      </w:pPr>
    </w:p>
    <w:p w:rsidR="00FA715E" w:rsidRPr="00C03FEF" w:rsidRDefault="00FA715E" w:rsidP="00FA715E">
      <w:pPr>
        <w:ind w:left="-567"/>
        <w:rPr>
          <w:lang w:val="it-IT"/>
        </w:rPr>
      </w:pPr>
    </w:p>
    <w:p w:rsidR="00FA715E" w:rsidRPr="00C03FEF" w:rsidRDefault="00FA715E" w:rsidP="00FA715E">
      <w:pPr>
        <w:tabs>
          <w:tab w:val="left" w:pos="5340"/>
        </w:tabs>
        <w:ind w:left="-567"/>
        <w:rPr>
          <w:lang w:val="it-IT"/>
        </w:rPr>
        <w:sectPr w:rsidR="00FA715E" w:rsidRPr="00C03FEF" w:rsidSect="007F31C1">
          <w:headerReference w:type="even" r:id="rId15"/>
          <w:footerReference w:type="default" r:id="rId16"/>
          <w:pgSz w:w="12240" w:h="15840"/>
          <w:pgMar w:top="284" w:right="1041" w:bottom="426" w:left="1418" w:header="720" w:footer="402" w:gutter="0"/>
          <w:pgNumType w:fmt="numberInDash" w:chapStyle="1"/>
          <w:cols w:space="720"/>
          <w:titlePg/>
          <w:docGrid w:linePitch="360"/>
        </w:sectPr>
      </w:pPr>
    </w:p>
    <w:p w:rsidR="00FA715E" w:rsidRPr="00E36F8D" w:rsidRDefault="00FA715E" w:rsidP="00FA715E">
      <w:pPr>
        <w:ind w:left="-851" w:firstLine="707"/>
        <w:jc w:val="both"/>
        <w:rPr>
          <w:lang w:val="it-IT"/>
        </w:rPr>
      </w:pPr>
    </w:p>
    <w:p w:rsidR="00FA715E" w:rsidRPr="00E36F8D" w:rsidRDefault="00FA715E" w:rsidP="00FA715E">
      <w:pPr>
        <w:ind w:left="-851" w:firstLine="707"/>
        <w:jc w:val="both"/>
        <w:rPr>
          <w:lang w:val="it-IT"/>
        </w:rPr>
      </w:pPr>
    </w:p>
    <w:p w:rsidR="00FA715E" w:rsidRPr="00E36F8D" w:rsidRDefault="00FA715E" w:rsidP="00FA715E">
      <w:pPr>
        <w:spacing w:line="360" w:lineRule="auto"/>
        <w:ind w:left="-851" w:firstLine="707"/>
        <w:jc w:val="both"/>
        <w:rPr>
          <w:lang w:val="it-IT"/>
        </w:rPr>
      </w:pPr>
    </w:p>
    <w:p w:rsidR="00FA715E" w:rsidRPr="00E36F8D" w:rsidRDefault="00FA715E" w:rsidP="00FA715E">
      <w:pPr>
        <w:spacing w:line="360" w:lineRule="auto"/>
        <w:ind w:left="-851" w:firstLine="707"/>
        <w:jc w:val="both"/>
        <w:rPr>
          <w:lang w:val="it-IT"/>
        </w:rPr>
      </w:pPr>
    </w:p>
    <w:p w:rsidR="00FA715E" w:rsidRPr="00E36F8D" w:rsidRDefault="00FA715E" w:rsidP="00FA715E">
      <w:pPr>
        <w:spacing w:line="360" w:lineRule="auto"/>
        <w:ind w:left="-851" w:firstLine="707"/>
        <w:jc w:val="both"/>
        <w:rPr>
          <w:lang w:val="it-IT"/>
        </w:rPr>
      </w:pPr>
    </w:p>
    <w:p w:rsidR="00FA715E" w:rsidRPr="00E36F8D" w:rsidRDefault="00FA715E" w:rsidP="00FA715E">
      <w:pPr>
        <w:spacing w:line="360" w:lineRule="auto"/>
        <w:ind w:left="-851" w:firstLine="707"/>
        <w:jc w:val="both"/>
        <w:rPr>
          <w:lang w:val="it-IT"/>
        </w:rPr>
      </w:pPr>
    </w:p>
    <w:p w:rsidR="00FA715E" w:rsidRPr="00E36F8D" w:rsidRDefault="00FA715E" w:rsidP="00FA715E">
      <w:pPr>
        <w:spacing w:line="360" w:lineRule="auto"/>
        <w:ind w:left="-851" w:firstLine="707"/>
        <w:jc w:val="both"/>
        <w:rPr>
          <w:lang w:val="it-IT"/>
        </w:rPr>
      </w:pPr>
    </w:p>
    <w:p w:rsidR="00FA715E" w:rsidRPr="00E36F8D" w:rsidRDefault="00FA715E" w:rsidP="00FA715E">
      <w:pPr>
        <w:spacing w:line="360" w:lineRule="auto"/>
        <w:ind w:left="-851" w:firstLine="707"/>
        <w:jc w:val="both"/>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rPr>
          <w:lang w:val="it-IT"/>
        </w:rPr>
      </w:pPr>
    </w:p>
    <w:p w:rsidR="00FA715E" w:rsidRPr="00E36F8D" w:rsidRDefault="00FA715E" w:rsidP="00FA715E">
      <w:pPr>
        <w:ind w:left="-851" w:firstLine="707"/>
        <w:jc w:val="center"/>
        <w:rPr>
          <w:b/>
          <w:lang w:val="it-IT"/>
        </w:rPr>
      </w:pPr>
    </w:p>
    <w:p w:rsidR="00FA715E" w:rsidRPr="00E36F8D" w:rsidRDefault="00FA715E" w:rsidP="00FA715E">
      <w:pPr>
        <w:ind w:left="-851" w:firstLine="707"/>
        <w:jc w:val="center"/>
        <w:rPr>
          <w:b/>
          <w:lang w:val="it-IT"/>
        </w:rPr>
      </w:pPr>
    </w:p>
    <w:p w:rsidR="00FA715E" w:rsidRPr="00E36F8D" w:rsidRDefault="00FA715E" w:rsidP="00FA715E">
      <w:pPr>
        <w:ind w:left="-851" w:firstLine="707"/>
        <w:jc w:val="center"/>
        <w:rPr>
          <w:b/>
          <w:lang w:val="it-IT"/>
        </w:rPr>
        <w:sectPr w:rsidR="00FA715E" w:rsidRPr="00E36F8D" w:rsidSect="00747389">
          <w:pgSz w:w="12240" w:h="15840"/>
          <w:pgMar w:top="900" w:right="1041" w:bottom="547" w:left="2160" w:header="720" w:footer="720" w:gutter="0"/>
          <w:cols w:space="720"/>
          <w:docGrid w:linePitch="360"/>
        </w:sectPr>
      </w:pPr>
    </w:p>
    <w:p w:rsidR="00FA715E" w:rsidRPr="00E36F8D" w:rsidRDefault="00FA715E" w:rsidP="00FA715E">
      <w:pPr>
        <w:ind w:left="-851" w:firstLine="707"/>
        <w:jc w:val="center"/>
        <w:rPr>
          <w:b/>
          <w:lang w:val="it-IT"/>
        </w:rPr>
      </w:pPr>
    </w:p>
    <w:p w:rsidR="00FA715E" w:rsidRPr="00E36F8D" w:rsidRDefault="00FA715E" w:rsidP="00FA715E">
      <w:pPr>
        <w:ind w:left="-851" w:firstLine="707"/>
        <w:jc w:val="center"/>
        <w:rPr>
          <w:b/>
          <w:lang w:val="it-IT"/>
        </w:rPr>
        <w:sectPr w:rsidR="00FA715E" w:rsidRPr="00E36F8D" w:rsidSect="00747389">
          <w:pgSz w:w="12240" w:h="15840"/>
          <w:pgMar w:top="907" w:right="1041" w:bottom="547" w:left="2160" w:header="720" w:footer="720" w:gutter="0"/>
          <w:cols w:space="720"/>
          <w:docGrid w:linePitch="360"/>
        </w:sectPr>
      </w:pPr>
    </w:p>
    <w:p w:rsidR="00FA715E" w:rsidRPr="00E36F8D" w:rsidRDefault="00FA715E" w:rsidP="00FA715E">
      <w:pPr>
        <w:ind w:left="-851" w:firstLine="707"/>
        <w:jc w:val="center"/>
        <w:rPr>
          <w:b/>
          <w:lang w:val="it-IT"/>
        </w:rPr>
      </w:pPr>
    </w:p>
    <w:p w:rsidR="00FA715E" w:rsidRPr="00E36F8D" w:rsidRDefault="00FA715E" w:rsidP="00FA715E">
      <w:pPr>
        <w:ind w:left="-851" w:firstLine="707"/>
        <w:jc w:val="center"/>
        <w:rPr>
          <w:b/>
          <w:lang w:val="it-IT"/>
        </w:rPr>
        <w:sectPr w:rsidR="00FA715E" w:rsidRPr="00E36F8D" w:rsidSect="00747389">
          <w:pgSz w:w="12240" w:h="15840"/>
          <w:pgMar w:top="907" w:right="1041" w:bottom="547" w:left="2160" w:header="720" w:footer="720" w:gutter="0"/>
          <w:cols w:space="720"/>
          <w:docGrid w:linePitch="360"/>
        </w:sectPr>
      </w:pPr>
    </w:p>
    <w:p w:rsidR="00106A91" w:rsidRPr="00106A91" w:rsidRDefault="00106A91" w:rsidP="00FA715E">
      <w:pPr>
        <w:tabs>
          <w:tab w:val="left" w:pos="2730"/>
        </w:tabs>
        <w:spacing w:line="240" w:lineRule="auto"/>
        <w:jc w:val="both"/>
        <w:rPr>
          <w:rFonts w:ascii="Times New Roman" w:hAnsi="Times New Roman" w:cs="Times New Roman"/>
          <w:sz w:val="24"/>
          <w:szCs w:val="24"/>
        </w:rPr>
      </w:pPr>
    </w:p>
    <w:sectPr w:rsidR="00106A91" w:rsidRPr="00106A91" w:rsidSect="00E95FF4">
      <w:pgSz w:w="12240" w:h="15840"/>
      <w:pgMar w:top="1134" w:right="1701" w:bottom="1134" w:left="170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A48" w:rsidRDefault="00CC7A48" w:rsidP="00265C1E">
      <w:pPr>
        <w:spacing w:after="0" w:line="240" w:lineRule="auto"/>
      </w:pPr>
      <w:r>
        <w:separator/>
      </w:r>
    </w:p>
  </w:endnote>
  <w:endnote w:type="continuationSeparator" w:id="0">
    <w:p w:rsidR="00CC7A48" w:rsidRDefault="00CC7A48" w:rsidP="00265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4EE" w:rsidRDefault="008024EE">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606686">
      <w:rPr>
        <w:caps/>
        <w:noProof/>
        <w:color w:val="4F81BD" w:themeColor="accent1"/>
      </w:rPr>
      <w:t>- 7 -</w:t>
    </w:r>
    <w:r>
      <w:rPr>
        <w:caps/>
        <w:noProof/>
        <w:color w:val="4F81BD" w:themeColor="accent1"/>
      </w:rPr>
      <w:fldChar w:fldCharType="end"/>
    </w:r>
  </w:p>
  <w:p w:rsidR="008024EE" w:rsidRPr="00BD744E" w:rsidRDefault="008024EE" w:rsidP="004955A7">
    <w:pPr>
      <w:pStyle w:val="Footer"/>
      <w:pBdr>
        <w:top w:val="single" w:sz="4" w:space="1" w:color="auto"/>
      </w:pBdr>
      <w:rPr>
        <w:sz w:val="20"/>
        <w:szCs w:val="20"/>
        <w:lang w:val="it-IT"/>
      </w:rPr>
    </w:pPr>
    <w:r w:rsidRPr="00BD744E">
      <w:rPr>
        <w:sz w:val="20"/>
        <w:szCs w:val="20"/>
        <w:lang w:val="it-IT"/>
      </w:rPr>
      <w:t>Adresa</w:t>
    </w:r>
    <w:r>
      <w:rPr>
        <w:sz w:val="20"/>
        <w:szCs w:val="20"/>
        <w:lang w:val="it-IT"/>
      </w:rPr>
      <w:t>:Bulevardi “Dëshmorët e Kombit”, Nr.4,</w:t>
    </w:r>
    <w:r w:rsidRPr="00BD744E">
      <w:rPr>
        <w:sz w:val="20"/>
        <w:szCs w:val="20"/>
        <w:lang w:val="sq-AL"/>
      </w:rPr>
      <w:t xml:space="preserve">Tiranë-Shqipëri            </w:t>
    </w:r>
    <w:hyperlink r:id="rId1" w:history="1">
      <w:r w:rsidRPr="00D63ECF">
        <w:rPr>
          <w:rStyle w:val="Hyperlink"/>
          <w:sz w:val="20"/>
          <w:szCs w:val="20"/>
          <w:lang w:val="sq-AL"/>
        </w:rPr>
        <w:t>http://www.parlament</w:t>
      </w:r>
    </w:hyperlink>
    <w:r>
      <w:rPr>
        <w:sz w:val="20"/>
        <w:szCs w:val="20"/>
        <w:lang w:val="sq-AL"/>
      </w:rPr>
      <w:t xml:space="preserve"> </w:t>
    </w:r>
    <w:r w:rsidRPr="003F3BBF">
      <w:rPr>
        <w:sz w:val="20"/>
        <w:szCs w:val="20"/>
        <w:lang w:val="sq-AL"/>
      </w:rPr>
      <w:t>.a</w:t>
    </w:r>
    <w:r>
      <w:rPr>
        <w:sz w:val="20"/>
        <w:szCs w:val="20"/>
        <w:lang w:val="sq-AL"/>
      </w:rPr>
      <w:t>l</w:t>
    </w:r>
    <w:r>
      <w:rPr>
        <w:sz w:val="20"/>
        <w:szCs w:val="20"/>
        <w:lang w:val="sq-AL"/>
      </w:rPr>
      <w:tab/>
    </w:r>
  </w:p>
  <w:p w:rsidR="008024EE" w:rsidRDefault="008024E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A48" w:rsidRDefault="00CC7A48" w:rsidP="00265C1E">
      <w:pPr>
        <w:spacing w:after="0" w:line="240" w:lineRule="auto"/>
      </w:pPr>
      <w:r>
        <w:separator/>
      </w:r>
    </w:p>
  </w:footnote>
  <w:footnote w:type="continuationSeparator" w:id="0">
    <w:p w:rsidR="00CC7A48" w:rsidRDefault="00CC7A48" w:rsidP="00265C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4EE" w:rsidRDefault="008024EE" w:rsidP="0074738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- 14 -</w:t>
    </w:r>
    <w:r>
      <w:rPr>
        <w:rStyle w:val="PageNumber"/>
      </w:rPr>
      <w:fldChar w:fldCharType="end"/>
    </w:r>
  </w:p>
  <w:p w:rsidR="008024EE" w:rsidRDefault="008024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96C"/>
    <w:multiLevelType w:val="hybridMultilevel"/>
    <w:tmpl w:val="C158EEE6"/>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24951D4"/>
    <w:multiLevelType w:val="hybridMultilevel"/>
    <w:tmpl w:val="6FEE955C"/>
    <w:lvl w:ilvl="0" w:tplc="041C000D">
      <w:start w:val="1"/>
      <w:numFmt w:val="bullet"/>
      <w:lvlText w:val=""/>
      <w:lvlJc w:val="left"/>
      <w:pPr>
        <w:ind w:left="780" w:hanging="360"/>
      </w:pPr>
      <w:rPr>
        <w:rFonts w:ascii="Wingdings" w:hAnsi="Wingdings" w:hint="default"/>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2" w15:restartNumberingAfterBreak="0">
    <w:nsid w:val="04AC76C2"/>
    <w:multiLevelType w:val="hybridMultilevel"/>
    <w:tmpl w:val="0A7233E2"/>
    <w:lvl w:ilvl="0" w:tplc="410004D0">
      <w:start w:val="1"/>
      <w:numFmt w:val="upperRoman"/>
      <w:lvlText w:val="%1."/>
      <w:lvlJc w:val="left"/>
      <w:pPr>
        <w:ind w:left="576" w:hanging="720"/>
      </w:pPr>
      <w:rPr>
        <w:rFonts w:hint="default"/>
      </w:rPr>
    </w:lvl>
    <w:lvl w:ilvl="1" w:tplc="041C0019" w:tentative="1">
      <w:start w:val="1"/>
      <w:numFmt w:val="lowerLetter"/>
      <w:lvlText w:val="%2."/>
      <w:lvlJc w:val="left"/>
      <w:pPr>
        <w:ind w:left="936" w:hanging="360"/>
      </w:pPr>
    </w:lvl>
    <w:lvl w:ilvl="2" w:tplc="041C001B" w:tentative="1">
      <w:start w:val="1"/>
      <w:numFmt w:val="lowerRoman"/>
      <w:lvlText w:val="%3."/>
      <w:lvlJc w:val="right"/>
      <w:pPr>
        <w:ind w:left="1656" w:hanging="180"/>
      </w:pPr>
    </w:lvl>
    <w:lvl w:ilvl="3" w:tplc="041C000F" w:tentative="1">
      <w:start w:val="1"/>
      <w:numFmt w:val="decimal"/>
      <w:lvlText w:val="%4."/>
      <w:lvlJc w:val="left"/>
      <w:pPr>
        <w:ind w:left="2376" w:hanging="360"/>
      </w:pPr>
    </w:lvl>
    <w:lvl w:ilvl="4" w:tplc="041C0019" w:tentative="1">
      <w:start w:val="1"/>
      <w:numFmt w:val="lowerLetter"/>
      <w:lvlText w:val="%5."/>
      <w:lvlJc w:val="left"/>
      <w:pPr>
        <w:ind w:left="3096" w:hanging="360"/>
      </w:pPr>
    </w:lvl>
    <w:lvl w:ilvl="5" w:tplc="041C001B" w:tentative="1">
      <w:start w:val="1"/>
      <w:numFmt w:val="lowerRoman"/>
      <w:lvlText w:val="%6."/>
      <w:lvlJc w:val="right"/>
      <w:pPr>
        <w:ind w:left="3816" w:hanging="180"/>
      </w:pPr>
    </w:lvl>
    <w:lvl w:ilvl="6" w:tplc="041C000F" w:tentative="1">
      <w:start w:val="1"/>
      <w:numFmt w:val="decimal"/>
      <w:lvlText w:val="%7."/>
      <w:lvlJc w:val="left"/>
      <w:pPr>
        <w:ind w:left="4536" w:hanging="360"/>
      </w:pPr>
    </w:lvl>
    <w:lvl w:ilvl="7" w:tplc="041C0019" w:tentative="1">
      <w:start w:val="1"/>
      <w:numFmt w:val="lowerLetter"/>
      <w:lvlText w:val="%8."/>
      <w:lvlJc w:val="left"/>
      <w:pPr>
        <w:ind w:left="5256" w:hanging="360"/>
      </w:pPr>
    </w:lvl>
    <w:lvl w:ilvl="8" w:tplc="041C001B" w:tentative="1">
      <w:start w:val="1"/>
      <w:numFmt w:val="lowerRoman"/>
      <w:lvlText w:val="%9."/>
      <w:lvlJc w:val="right"/>
      <w:pPr>
        <w:ind w:left="5976" w:hanging="180"/>
      </w:pPr>
    </w:lvl>
  </w:abstractNum>
  <w:abstractNum w:abstractNumId="3" w15:restartNumberingAfterBreak="0">
    <w:nsid w:val="06620F0E"/>
    <w:multiLevelType w:val="multilevel"/>
    <w:tmpl w:val="BB6EEE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6E11C07"/>
    <w:multiLevelType w:val="hybridMultilevel"/>
    <w:tmpl w:val="C76ABBA2"/>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 w15:restartNumberingAfterBreak="0">
    <w:nsid w:val="0B200702"/>
    <w:multiLevelType w:val="hybridMultilevel"/>
    <w:tmpl w:val="D4789976"/>
    <w:lvl w:ilvl="0" w:tplc="041C0001">
      <w:start w:val="1"/>
      <w:numFmt w:val="bullet"/>
      <w:lvlText w:val=""/>
      <w:lvlJc w:val="left"/>
      <w:pPr>
        <w:ind w:left="720" w:hanging="360"/>
      </w:pPr>
      <w:rPr>
        <w:rFonts w:ascii="Symbol" w:hAnsi="Symbol"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15B8711C"/>
    <w:multiLevelType w:val="hybridMultilevel"/>
    <w:tmpl w:val="361672D4"/>
    <w:lvl w:ilvl="0" w:tplc="169CBAF6">
      <w:start w:val="1"/>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169E7132"/>
    <w:multiLevelType w:val="hybridMultilevel"/>
    <w:tmpl w:val="B5F884B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17D327BC"/>
    <w:multiLevelType w:val="hybridMultilevel"/>
    <w:tmpl w:val="3656024E"/>
    <w:lvl w:ilvl="0" w:tplc="D8B051E6">
      <w:numFmt w:val="bullet"/>
      <w:lvlText w:val="-"/>
      <w:lvlJc w:val="left"/>
      <w:pPr>
        <w:ind w:left="720" w:hanging="360"/>
      </w:pPr>
      <w:rPr>
        <w:rFonts w:ascii="Times New Roman" w:eastAsia="MS Mincho" w:hAnsi="Times New Roman" w:cs="Times New Roman" w:hint="default"/>
        <w:b/>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19946E0F"/>
    <w:multiLevelType w:val="hybridMultilevel"/>
    <w:tmpl w:val="FE465720"/>
    <w:lvl w:ilvl="0" w:tplc="F2CE683A">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51A1D"/>
    <w:multiLevelType w:val="hybridMultilevel"/>
    <w:tmpl w:val="8CFE91BE"/>
    <w:lvl w:ilvl="0" w:tplc="8BDCFBAC">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2DC804E9"/>
    <w:multiLevelType w:val="hybridMultilevel"/>
    <w:tmpl w:val="0B2CF724"/>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2EA64E8E"/>
    <w:multiLevelType w:val="hybridMultilevel"/>
    <w:tmpl w:val="AB40422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15:restartNumberingAfterBreak="0">
    <w:nsid w:val="2F50438A"/>
    <w:multiLevelType w:val="hybridMultilevel"/>
    <w:tmpl w:val="A7C4AB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E185D"/>
    <w:multiLevelType w:val="hybridMultilevel"/>
    <w:tmpl w:val="BFF00CB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7AC705A"/>
    <w:multiLevelType w:val="hybridMultilevel"/>
    <w:tmpl w:val="133EAE9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15:restartNumberingAfterBreak="0">
    <w:nsid w:val="393A14BE"/>
    <w:multiLevelType w:val="hybridMultilevel"/>
    <w:tmpl w:val="E2186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DC32B08"/>
    <w:multiLevelType w:val="hybridMultilevel"/>
    <w:tmpl w:val="089C86E2"/>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3F9F6981"/>
    <w:multiLevelType w:val="hybridMultilevel"/>
    <w:tmpl w:val="09E872A0"/>
    <w:lvl w:ilvl="0" w:tplc="C69A824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4D7D0B"/>
    <w:multiLevelType w:val="hybridMultilevel"/>
    <w:tmpl w:val="DABC1F8C"/>
    <w:lvl w:ilvl="0" w:tplc="169CBAF6">
      <w:start w:val="1"/>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422F5244"/>
    <w:multiLevelType w:val="hybridMultilevel"/>
    <w:tmpl w:val="8E6E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A17533"/>
    <w:multiLevelType w:val="hybridMultilevel"/>
    <w:tmpl w:val="FF46C2F4"/>
    <w:lvl w:ilvl="0" w:tplc="1270CB18">
      <w:start w:val="3"/>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466F606C"/>
    <w:multiLevelType w:val="hybridMultilevel"/>
    <w:tmpl w:val="BD085E74"/>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3" w15:restartNumberingAfterBreak="0">
    <w:nsid w:val="4B0425BB"/>
    <w:multiLevelType w:val="hybridMultilevel"/>
    <w:tmpl w:val="6BFE56D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4DEE645D"/>
    <w:multiLevelType w:val="hybridMultilevel"/>
    <w:tmpl w:val="32FE8006"/>
    <w:lvl w:ilvl="0" w:tplc="D8B051E6">
      <w:numFmt w:val="bullet"/>
      <w:lvlText w:val="-"/>
      <w:lvlJc w:val="left"/>
      <w:pPr>
        <w:ind w:left="360" w:hanging="360"/>
      </w:pPr>
      <w:rPr>
        <w:rFonts w:ascii="Times New Roman" w:eastAsia="MS Mincho" w:hAnsi="Times New Roman" w:cs="Times New Roman" w:hint="default"/>
        <w:b/>
        <w:color w:val="auto"/>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15:restartNumberingAfterBreak="0">
    <w:nsid w:val="4EE43B37"/>
    <w:multiLevelType w:val="hybridMultilevel"/>
    <w:tmpl w:val="AE465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AE336B"/>
    <w:multiLevelType w:val="hybridMultilevel"/>
    <w:tmpl w:val="22162708"/>
    <w:lvl w:ilvl="0" w:tplc="169CBAF6">
      <w:start w:val="1"/>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15:restartNumberingAfterBreak="0">
    <w:nsid w:val="55FD1CBE"/>
    <w:multiLevelType w:val="hybridMultilevel"/>
    <w:tmpl w:val="6D12C678"/>
    <w:lvl w:ilvl="0" w:tplc="9A5AEF42">
      <w:numFmt w:val="bullet"/>
      <w:lvlText w:val="-"/>
      <w:lvlJc w:val="left"/>
      <w:pPr>
        <w:ind w:left="720" w:hanging="360"/>
      </w:pPr>
      <w:rPr>
        <w:rFonts w:ascii="Times New Roman" w:eastAsiaTheme="minorEastAsia"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15:restartNumberingAfterBreak="0">
    <w:nsid w:val="60A318FC"/>
    <w:multiLevelType w:val="hybridMultilevel"/>
    <w:tmpl w:val="5314A72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15:restartNumberingAfterBreak="0">
    <w:nsid w:val="66326B43"/>
    <w:multiLevelType w:val="hybridMultilevel"/>
    <w:tmpl w:val="57024EE6"/>
    <w:lvl w:ilvl="0" w:tplc="F2CE683A">
      <w:start w:val="5"/>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15:restartNumberingAfterBreak="0">
    <w:nsid w:val="66E70335"/>
    <w:multiLevelType w:val="hybridMultilevel"/>
    <w:tmpl w:val="6A825844"/>
    <w:lvl w:ilvl="0" w:tplc="F2CE683A">
      <w:start w:val="5"/>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15:restartNumberingAfterBreak="0">
    <w:nsid w:val="671C7B95"/>
    <w:multiLevelType w:val="hybridMultilevel"/>
    <w:tmpl w:val="FF9A740E"/>
    <w:lvl w:ilvl="0" w:tplc="169CBA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7212DE6"/>
    <w:multiLevelType w:val="hybridMultilevel"/>
    <w:tmpl w:val="FE4C69CC"/>
    <w:lvl w:ilvl="0" w:tplc="0409000D">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3" w15:restartNumberingAfterBreak="0">
    <w:nsid w:val="683A5668"/>
    <w:multiLevelType w:val="hybridMultilevel"/>
    <w:tmpl w:val="B92C458C"/>
    <w:lvl w:ilvl="0" w:tplc="D8B051E6">
      <w:numFmt w:val="bullet"/>
      <w:lvlText w:val="-"/>
      <w:lvlJc w:val="left"/>
      <w:pPr>
        <w:ind w:left="720" w:hanging="360"/>
      </w:pPr>
      <w:rPr>
        <w:rFonts w:ascii="Times New Roman" w:eastAsia="MS Mincho" w:hAnsi="Times New Roman" w:cs="Times New Roman" w:hint="default"/>
        <w:b/>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15:restartNumberingAfterBreak="0">
    <w:nsid w:val="6C106F45"/>
    <w:multiLevelType w:val="hybridMultilevel"/>
    <w:tmpl w:val="2A88120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15:restartNumberingAfterBreak="0">
    <w:nsid w:val="6D756221"/>
    <w:multiLevelType w:val="hybridMultilevel"/>
    <w:tmpl w:val="7B98EDCE"/>
    <w:lvl w:ilvl="0" w:tplc="041C0001">
      <w:start w:val="1"/>
      <w:numFmt w:val="bullet"/>
      <w:lvlText w:val=""/>
      <w:lvlJc w:val="left"/>
      <w:pPr>
        <w:ind w:left="-131" w:hanging="360"/>
      </w:pPr>
      <w:rPr>
        <w:rFonts w:ascii="Symbol" w:hAnsi="Symbol" w:hint="default"/>
      </w:rPr>
    </w:lvl>
    <w:lvl w:ilvl="1" w:tplc="041C0003" w:tentative="1">
      <w:start w:val="1"/>
      <w:numFmt w:val="bullet"/>
      <w:lvlText w:val="o"/>
      <w:lvlJc w:val="left"/>
      <w:pPr>
        <w:ind w:left="589" w:hanging="360"/>
      </w:pPr>
      <w:rPr>
        <w:rFonts w:ascii="Courier New" w:hAnsi="Courier New" w:cs="Courier New" w:hint="default"/>
      </w:rPr>
    </w:lvl>
    <w:lvl w:ilvl="2" w:tplc="041C0005" w:tentative="1">
      <w:start w:val="1"/>
      <w:numFmt w:val="bullet"/>
      <w:lvlText w:val=""/>
      <w:lvlJc w:val="left"/>
      <w:pPr>
        <w:ind w:left="1309" w:hanging="360"/>
      </w:pPr>
      <w:rPr>
        <w:rFonts w:ascii="Wingdings" w:hAnsi="Wingdings" w:hint="default"/>
      </w:rPr>
    </w:lvl>
    <w:lvl w:ilvl="3" w:tplc="041C0001" w:tentative="1">
      <w:start w:val="1"/>
      <w:numFmt w:val="bullet"/>
      <w:lvlText w:val=""/>
      <w:lvlJc w:val="left"/>
      <w:pPr>
        <w:ind w:left="2029" w:hanging="360"/>
      </w:pPr>
      <w:rPr>
        <w:rFonts w:ascii="Symbol" w:hAnsi="Symbol" w:hint="default"/>
      </w:rPr>
    </w:lvl>
    <w:lvl w:ilvl="4" w:tplc="041C0003" w:tentative="1">
      <w:start w:val="1"/>
      <w:numFmt w:val="bullet"/>
      <w:lvlText w:val="o"/>
      <w:lvlJc w:val="left"/>
      <w:pPr>
        <w:ind w:left="2749" w:hanging="360"/>
      </w:pPr>
      <w:rPr>
        <w:rFonts w:ascii="Courier New" w:hAnsi="Courier New" w:cs="Courier New" w:hint="default"/>
      </w:rPr>
    </w:lvl>
    <w:lvl w:ilvl="5" w:tplc="041C0005" w:tentative="1">
      <w:start w:val="1"/>
      <w:numFmt w:val="bullet"/>
      <w:lvlText w:val=""/>
      <w:lvlJc w:val="left"/>
      <w:pPr>
        <w:ind w:left="3469" w:hanging="360"/>
      </w:pPr>
      <w:rPr>
        <w:rFonts w:ascii="Wingdings" w:hAnsi="Wingdings" w:hint="default"/>
      </w:rPr>
    </w:lvl>
    <w:lvl w:ilvl="6" w:tplc="041C0001" w:tentative="1">
      <w:start w:val="1"/>
      <w:numFmt w:val="bullet"/>
      <w:lvlText w:val=""/>
      <w:lvlJc w:val="left"/>
      <w:pPr>
        <w:ind w:left="4189" w:hanging="360"/>
      </w:pPr>
      <w:rPr>
        <w:rFonts w:ascii="Symbol" w:hAnsi="Symbol" w:hint="default"/>
      </w:rPr>
    </w:lvl>
    <w:lvl w:ilvl="7" w:tplc="041C0003" w:tentative="1">
      <w:start w:val="1"/>
      <w:numFmt w:val="bullet"/>
      <w:lvlText w:val="o"/>
      <w:lvlJc w:val="left"/>
      <w:pPr>
        <w:ind w:left="4909" w:hanging="360"/>
      </w:pPr>
      <w:rPr>
        <w:rFonts w:ascii="Courier New" w:hAnsi="Courier New" w:cs="Courier New" w:hint="default"/>
      </w:rPr>
    </w:lvl>
    <w:lvl w:ilvl="8" w:tplc="041C0005" w:tentative="1">
      <w:start w:val="1"/>
      <w:numFmt w:val="bullet"/>
      <w:lvlText w:val=""/>
      <w:lvlJc w:val="left"/>
      <w:pPr>
        <w:ind w:left="5629" w:hanging="360"/>
      </w:pPr>
      <w:rPr>
        <w:rFonts w:ascii="Wingdings" w:hAnsi="Wingdings" w:hint="default"/>
      </w:rPr>
    </w:lvl>
  </w:abstractNum>
  <w:abstractNum w:abstractNumId="36" w15:restartNumberingAfterBreak="0">
    <w:nsid w:val="6F9C03C7"/>
    <w:multiLevelType w:val="hybridMultilevel"/>
    <w:tmpl w:val="654C8CAC"/>
    <w:lvl w:ilvl="0" w:tplc="BA2808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A01A8"/>
    <w:multiLevelType w:val="hybridMultilevel"/>
    <w:tmpl w:val="E8300E66"/>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15:restartNumberingAfterBreak="0">
    <w:nsid w:val="73171157"/>
    <w:multiLevelType w:val="hybridMultilevel"/>
    <w:tmpl w:val="E1E2609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9" w15:restartNumberingAfterBreak="0">
    <w:nsid w:val="74290B7B"/>
    <w:multiLevelType w:val="hybridMultilevel"/>
    <w:tmpl w:val="5C9A111C"/>
    <w:lvl w:ilvl="0" w:tplc="169CBAF6">
      <w:start w:val="1"/>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40" w15:restartNumberingAfterBreak="0">
    <w:nsid w:val="756A28A6"/>
    <w:multiLevelType w:val="hybridMultilevel"/>
    <w:tmpl w:val="2454F1A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15:restartNumberingAfterBreak="0">
    <w:nsid w:val="775B2109"/>
    <w:multiLevelType w:val="hybridMultilevel"/>
    <w:tmpl w:val="8E1E846A"/>
    <w:lvl w:ilvl="0" w:tplc="75F6F686">
      <w:start w:val="1"/>
      <w:numFmt w:val="decimal"/>
      <w:lvlText w:val="%1."/>
      <w:lvlJc w:val="left"/>
      <w:pPr>
        <w:ind w:left="360" w:hanging="360"/>
      </w:pPr>
      <w:rPr>
        <w:rFonts w:hint="default"/>
        <w:color w:val="auto"/>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2" w15:restartNumberingAfterBreak="0">
    <w:nsid w:val="7A6534FE"/>
    <w:multiLevelType w:val="hybridMultilevel"/>
    <w:tmpl w:val="25DA6D0A"/>
    <w:lvl w:ilvl="0" w:tplc="041C000D">
      <w:start w:val="1"/>
      <w:numFmt w:val="bullet"/>
      <w:lvlText w:val=""/>
      <w:lvlJc w:val="left"/>
      <w:pPr>
        <w:ind w:left="578" w:hanging="360"/>
      </w:pPr>
      <w:rPr>
        <w:rFonts w:ascii="Wingdings" w:hAnsi="Wingdings" w:hint="default"/>
      </w:rPr>
    </w:lvl>
    <w:lvl w:ilvl="1" w:tplc="041C0003" w:tentative="1">
      <w:start w:val="1"/>
      <w:numFmt w:val="bullet"/>
      <w:lvlText w:val="o"/>
      <w:lvlJc w:val="left"/>
      <w:pPr>
        <w:ind w:left="1298" w:hanging="360"/>
      </w:pPr>
      <w:rPr>
        <w:rFonts w:ascii="Courier New" w:hAnsi="Courier New" w:cs="Courier New" w:hint="default"/>
      </w:rPr>
    </w:lvl>
    <w:lvl w:ilvl="2" w:tplc="041C0005" w:tentative="1">
      <w:start w:val="1"/>
      <w:numFmt w:val="bullet"/>
      <w:lvlText w:val=""/>
      <w:lvlJc w:val="left"/>
      <w:pPr>
        <w:ind w:left="2018" w:hanging="360"/>
      </w:pPr>
      <w:rPr>
        <w:rFonts w:ascii="Wingdings" w:hAnsi="Wingdings" w:hint="default"/>
      </w:rPr>
    </w:lvl>
    <w:lvl w:ilvl="3" w:tplc="041C0001" w:tentative="1">
      <w:start w:val="1"/>
      <w:numFmt w:val="bullet"/>
      <w:lvlText w:val=""/>
      <w:lvlJc w:val="left"/>
      <w:pPr>
        <w:ind w:left="2738" w:hanging="360"/>
      </w:pPr>
      <w:rPr>
        <w:rFonts w:ascii="Symbol" w:hAnsi="Symbol" w:hint="default"/>
      </w:rPr>
    </w:lvl>
    <w:lvl w:ilvl="4" w:tplc="041C0003" w:tentative="1">
      <w:start w:val="1"/>
      <w:numFmt w:val="bullet"/>
      <w:lvlText w:val="o"/>
      <w:lvlJc w:val="left"/>
      <w:pPr>
        <w:ind w:left="3458" w:hanging="360"/>
      </w:pPr>
      <w:rPr>
        <w:rFonts w:ascii="Courier New" w:hAnsi="Courier New" w:cs="Courier New" w:hint="default"/>
      </w:rPr>
    </w:lvl>
    <w:lvl w:ilvl="5" w:tplc="041C0005" w:tentative="1">
      <w:start w:val="1"/>
      <w:numFmt w:val="bullet"/>
      <w:lvlText w:val=""/>
      <w:lvlJc w:val="left"/>
      <w:pPr>
        <w:ind w:left="4178" w:hanging="360"/>
      </w:pPr>
      <w:rPr>
        <w:rFonts w:ascii="Wingdings" w:hAnsi="Wingdings" w:hint="default"/>
      </w:rPr>
    </w:lvl>
    <w:lvl w:ilvl="6" w:tplc="041C0001" w:tentative="1">
      <w:start w:val="1"/>
      <w:numFmt w:val="bullet"/>
      <w:lvlText w:val=""/>
      <w:lvlJc w:val="left"/>
      <w:pPr>
        <w:ind w:left="4898" w:hanging="360"/>
      </w:pPr>
      <w:rPr>
        <w:rFonts w:ascii="Symbol" w:hAnsi="Symbol" w:hint="default"/>
      </w:rPr>
    </w:lvl>
    <w:lvl w:ilvl="7" w:tplc="041C0003" w:tentative="1">
      <w:start w:val="1"/>
      <w:numFmt w:val="bullet"/>
      <w:lvlText w:val="o"/>
      <w:lvlJc w:val="left"/>
      <w:pPr>
        <w:ind w:left="5618" w:hanging="360"/>
      </w:pPr>
      <w:rPr>
        <w:rFonts w:ascii="Courier New" w:hAnsi="Courier New" w:cs="Courier New" w:hint="default"/>
      </w:rPr>
    </w:lvl>
    <w:lvl w:ilvl="8" w:tplc="041C0005" w:tentative="1">
      <w:start w:val="1"/>
      <w:numFmt w:val="bullet"/>
      <w:lvlText w:val=""/>
      <w:lvlJc w:val="left"/>
      <w:pPr>
        <w:ind w:left="6338" w:hanging="360"/>
      </w:pPr>
      <w:rPr>
        <w:rFonts w:ascii="Wingdings" w:hAnsi="Wingdings" w:hint="default"/>
      </w:rPr>
    </w:lvl>
  </w:abstractNum>
  <w:abstractNum w:abstractNumId="43" w15:restartNumberingAfterBreak="0">
    <w:nsid w:val="7D6C7494"/>
    <w:multiLevelType w:val="hybridMultilevel"/>
    <w:tmpl w:val="06D8CDD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E270F6"/>
    <w:multiLevelType w:val="hybridMultilevel"/>
    <w:tmpl w:val="FD7AB76A"/>
    <w:lvl w:ilvl="0" w:tplc="041C000F">
      <w:start w:val="1"/>
      <w:numFmt w:val="decimal"/>
      <w:lvlText w:val="%1."/>
      <w:lvlJc w:val="left"/>
      <w:pPr>
        <w:ind w:left="436" w:hanging="360"/>
      </w:pPr>
    </w:lvl>
    <w:lvl w:ilvl="1" w:tplc="041C0019" w:tentative="1">
      <w:start w:val="1"/>
      <w:numFmt w:val="lowerLetter"/>
      <w:lvlText w:val="%2."/>
      <w:lvlJc w:val="left"/>
      <w:pPr>
        <w:ind w:left="1156" w:hanging="360"/>
      </w:pPr>
    </w:lvl>
    <w:lvl w:ilvl="2" w:tplc="041C001B" w:tentative="1">
      <w:start w:val="1"/>
      <w:numFmt w:val="lowerRoman"/>
      <w:lvlText w:val="%3."/>
      <w:lvlJc w:val="right"/>
      <w:pPr>
        <w:ind w:left="1876" w:hanging="180"/>
      </w:pPr>
    </w:lvl>
    <w:lvl w:ilvl="3" w:tplc="041C000F" w:tentative="1">
      <w:start w:val="1"/>
      <w:numFmt w:val="decimal"/>
      <w:lvlText w:val="%4."/>
      <w:lvlJc w:val="left"/>
      <w:pPr>
        <w:ind w:left="2596" w:hanging="360"/>
      </w:pPr>
    </w:lvl>
    <w:lvl w:ilvl="4" w:tplc="041C0019" w:tentative="1">
      <w:start w:val="1"/>
      <w:numFmt w:val="lowerLetter"/>
      <w:lvlText w:val="%5."/>
      <w:lvlJc w:val="left"/>
      <w:pPr>
        <w:ind w:left="3316" w:hanging="360"/>
      </w:pPr>
    </w:lvl>
    <w:lvl w:ilvl="5" w:tplc="041C001B" w:tentative="1">
      <w:start w:val="1"/>
      <w:numFmt w:val="lowerRoman"/>
      <w:lvlText w:val="%6."/>
      <w:lvlJc w:val="right"/>
      <w:pPr>
        <w:ind w:left="4036" w:hanging="180"/>
      </w:pPr>
    </w:lvl>
    <w:lvl w:ilvl="6" w:tplc="041C000F" w:tentative="1">
      <w:start w:val="1"/>
      <w:numFmt w:val="decimal"/>
      <w:lvlText w:val="%7."/>
      <w:lvlJc w:val="left"/>
      <w:pPr>
        <w:ind w:left="4756" w:hanging="360"/>
      </w:pPr>
    </w:lvl>
    <w:lvl w:ilvl="7" w:tplc="041C0019" w:tentative="1">
      <w:start w:val="1"/>
      <w:numFmt w:val="lowerLetter"/>
      <w:lvlText w:val="%8."/>
      <w:lvlJc w:val="left"/>
      <w:pPr>
        <w:ind w:left="5476" w:hanging="360"/>
      </w:pPr>
    </w:lvl>
    <w:lvl w:ilvl="8" w:tplc="041C001B" w:tentative="1">
      <w:start w:val="1"/>
      <w:numFmt w:val="lowerRoman"/>
      <w:lvlText w:val="%9."/>
      <w:lvlJc w:val="right"/>
      <w:pPr>
        <w:ind w:left="6196" w:hanging="180"/>
      </w:pPr>
    </w:lvl>
  </w:abstractNum>
  <w:abstractNum w:abstractNumId="45" w15:restartNumberingAfterBreak="0">
    <w:nsid w:val="7FAF34AA"/>
    <w:multiLevelType w:val="hybridMultilevel"/>
    <w:tmpl w:val="1B8E745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36"/>
  </w:num>
  <w:num w:numId="4">
    <w:abstractNumId w:val="25"/>
  </w:num>
  <w:num w:numId="5">
    <w:abstractNumId w:val="4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3"/>
  </w:num>
  <w:num w:numId="9">
    <w:abstractNumId w:val="33"/>
  </w:num>
  <w:num w:numId="10">
    <w:abstractNumId w:val="24"/>
  </w:num>
  <w:num w:numId="11">
    <w:abstractNumId w:val="12"/>
  </w:num>
  <w:num w:numId="12">
    <w:abstractNumId w:val="26"/>
  </w:num>
  <w:num w:numId="13">
    <w:abstractNumId w:val="19"/>
  </w:num>
  <w:num w:numId="14">
    <w:abstractNumId w:val="39"/>
  </w:num>
  <w:num w:numId="15">
    <w:abstractNumId w:val="6"/>
  </w:num>
  <w:num w:numId="16">
    <w:abstractNumId w:val="8"/>
  </w:num>
  <w:num w:numId="17">
    <w:abstractNumId w:val="27"/>
  </w:num>
  <w:num w:numId="18">
    <w:abstractNumId w:val="30"/>
  </w:num>
  <w:num w:numId="19">
    <w:abstractNumId w:val="13"/>
  </w:num>
  <w:num w:numId="20">
    <w:abstractNumId w:val="22"/>
  </w:num>
  <w:num w:numId="21">
    <w:abstractNumId w:val="29"/>
  </w:num>
  <w:num w:numId="22">
    <w:abstractNumId w:val="14"/>
  </w:num>
  <w:num w:numId="23">
    <w:abstractNumId w:val="9"/>
  </w:num>
  <w:num w:numId="24">
    <w:abstractNumId w:val="2"/>
  </w:num>
  <w:num w:numId="25">
    <w:abstractNumId w:val="35"/>
  </w:num>
  <w:num w:numId="26">
    <w:abstractNumId w:val="32"/>
  </w:num>
  <w:num w:numId="27">
    <w:abstractNumId w:val="44"/>
  </w:num>
  <w:num w:numId="28">
    <w:abstractNumId w:val="42"/>
  </w:num>
  <w:num w:numId="29">
    <w:abstractNumId w:val="21"/>
  </w:num>
  <w:num w:numId="30">
    <w:abstractNumId w:val="0"/>
  </w:num>
  <w:num w:numId="31">
    <w:abstractNumId w:val="11"/>
  </w:num>
  <w:num w:numId="32">
    <w:abstractNumId w:val="40"/>
  </w:num>
  <w:num w:numId="33">
    <w:abstractNumId w:val="37"/>
  </w:num>
  <w:num w:numId="34">
    <w:abstractNumId w:val="38"/>
  </w:num>
  <w:num w:numId="35">
    <w:abstractNumId w:val="41"/>
  </w:num>
  <w:num w:numId="36">
    <w:abstractNumId w:val="7"/>
  </w:num>
  <w:num w:numId="37">
    <w:abstractNumId w:val="1"/>
  </w:num>
  <w:num w:numId="38">
    <w:abstractNumId w:val="45"/>
  </w:num>
  <w:num w:numId="39">
    <w:abstractNumId w:val="4"/>
  </w:num>
  <w:num w:numId="40">
    <w:abstractNumId w:val="17"/>
  </w:num>
  <w:num w:numId="41">
    <w:abstractNumId w:val="28"/>
  </w:num>
  <w:num w:numId="42">
    <w:abstractNumId w:val="34"/>
  </w:num>
  <w:num w:numId="43">
    <w:abstractNumId w:val="18"/>
  </w:num>
  <w:num w:numId="44">
    <w:abstractNumId w:val="15"/>
  </w:num>
  <w:num w:numId="45">
    <w:abstractNumId w:val="23"/>
  </w:num>
  <w:num w:numId="46">
    <w:abstractNumId w:val="5"/>
  </w:num>
  <w:num w:numId="4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853"/>
    <w:rsid w:val="0001041D"/>
    <w:rsid w:val="00011F80"/>
    <w:rsid w:val="0002095F"/>
    <w:rsid w:val="00025785"/>
    <w:rsid w:val="00027F0C"/>
    <w:rsid w:val="000320BA"/>
    <w:rsid w:val="00035E98"/>
    <w:rsid w:val="000367FD"/>
    <w:rsid w:val="00037AFC"/>
    <w:rsid w:val="000516F1"/>
    <w:rsid w:val="00053B14"/>
    <w:rsid w:val="00055712"/>
    <w:rsid w:val="00056836"/>
    <w:rsid w:val="00071B20"/>
    <w:rsid w:val="00077195"/>
    <w:rsid w:val="0007759E"/>
    <w:rsid w:val="000824CB"/>
    <w:rsid w:val="00083466"/>
    <w:rsid w:val="00084F74"/>
    <w:rsid w:val="0009585A"/>
    <w:rsid w:val="00097B7B"/>
    <w:rsid w:val="000A3146"/>
    <w:rsid w:val="000A31B4"/>
    <w:rsid w:val="000A51E4"/>
    <w:rsid w:val="000B3EC4"/>
    <w:rsid w:val="000B6EEB"/>
    <w:rsid w:val="000E6B9E"/>
    <w:rsid w:val="000F6957"/>
    <w:rsid w:val="00101EE4"/>
    <w:rsid w:val="00103172"/>
    <w:rsid w:val="00103AFC"/>
    <w:rsid w:val="00104746"/>
    <w:rsid w:val="00105138"/>
    <w:rsid w:val="001058FC"/>
    <w:rsid w:val="00106A91"/>
    <w:rsid w:val="00110857"/>
    <w:rsid w:val="0011289B"/>
    <w:rsid w:val="0011438A"/>
    <w:rsid w:val="0011542A"/>
    <w:rsid w:val="00116FC8"/>
    <w:rsid w:val="00117385"/>
    <w:rsid w:val="0012224A"/>
    <w:rsid w:val="00123067"/>
    <w:rsid w:val="00130E1F"/>
    <w:rsid w:val="00140017"/>
    <w:rsid w:val="00143241"/>
    <w:rsid w:val="00143C65"/>
    <w:rsid w:val="001453B5"/>
    <w:rsid w:val="0014681D"/>
    <w:rsid w:val="00147A02"/>
    <w:rsid w:val="0015299D"/>
    <w:rsid w:val="00154CF1"/>
    <w:rsid w:val="00157693"/>
    <w:rsid w:val="0016364B"/>
    <w:rsid w:val="00165644"/>
    <w:rsid w:val="00170946"/>
    <w:rsid w:val="00174994"/>
    <w:rsid w:val="00181B81"/>
    <w:rsid w:val="00185180"/>
    <w:rsid w:val="00185C93"/>
    <w:rsid w:val="00195F60"/>
    <w:rsid w:val="00196944"/>
    <w:rsid w:val="001970AF"/>
    <w:rsid w:val="001A7247"/>
    <w:rsid w:val="001B5F4A"/>
    <w:rsid w:val="001C1382"/>
    <w:rsid w:val="001C60B2"/>
    <w:rsid w:val="001D26CD"/>
    <w:rsid w:val="001D410B"/>
    <w:rsid w:val="001D4A7B"/>
    <w:rsid w:val="001D742F"/>
    <w:rsid w:val="001F4D55"/>
    <w:rsid w:val="001F63FA"/>
    <w:rsid w:val="001F667A"/>
    <w:rsid w:val="002034A4"/>
    <w:rsid w:val="0020536C"/>
    <w:rsid w:val="00205DDF"/>
    <w:rsid w:val="00212FFF"/>
    <w:rsid w:val="00214A9A"/>
    <w:rsid w:val="00217006"/>
    <w:rsid w:val="0022493E"/>
    <w:rsid w:val="00226A54"/>
    <w:rsid w:val="002333B5"/>
    <w:rsid w:val="00235284"/>
    <w:rsid w:val="00235745"/>
    <w:rsid w:val="00246DCA"/>
    <w:rsid w:val="00247C47"/>
    <w:rsid w:val="00250297"/>
    <w:rsid w:val="002509FE"/>
    <w:rsid w:val="00257381"/>
    <w:rsid w:val="00261C85"/>
    <w:rsid w:val="00264B88"/>
    <w:rsid w:val="00265C1E"/>
    <w:rsid w:val="00266614"/>
    <w:rsid w:val="00267603"/>
    <w:rsid w:val="00270D1F"/>
    <w:rsid w:val="00284775"/>
    <w:rsid w:val="00285ED2"/>
    <w:rsid w:val="00286B8A"/>
    <w:rsid w:val="002914A0"/>
    <w:rsid w:val="00291841"/>
    <w:rsid w:val="00296C81"/>
    <w:rsid w:val="002A230D"/>
    <w:rsid w:val="002A3F6B"/>
    <w:rsid w:val="002A7151"/>
    <w:rsid w:val="002B366E"/>
    <w:rsid w:val="002B5CB2"/>
    <w:rsid w:val="002B7803"/>
    <w:rsid w:val="002D5067"/>
    <w:rsid w:val="002F3A33"/>
    <w:rsid w:val="002F5511"/>
    <w:rsid w:val="002F788A"/>
    <w:rsid w:val="002F7B6E"/>
    <w:rsid w:val="003010E4"/>
    <w:rsid w:val="003129A6"/>
    <w:rsid w:val="003136EC"/>
    <w:rsid w:val="00314B4B"/>
    <w:rsid w:val="0032178E"/>
    <w:rsid w:val="00323A29"/>
    <w:rsid w:val="00323ED3"/>
    <w:rsid w:val="003360A2"/>
    <w:rsid w:val="00336EC0"/>
    <w:rsid w:val="003404CD"/>
    <w:rsid w:val="00341F64"/>
    <w:rsid w:val="00346BAB"/>
    <w:rsid w:val="00350E11"/>
    <w:rsid w:val="0036315E"/>
    <w:rsid w:val="0036390E"/>
    <w:rsid w:val="0036629A"/>
    <w:rsid w:val="003706A4"/>
    <w:rsid w:val="00374C11"/>
    <w:rsid w:val="00375129"/>
    <w:rsid w:val="00377150"/>
    <w:rsid w:val="00387B35"/>
    <w:rsid w:val="00387CA1"/>
    <w:rsid w:val="00390208"/>
    <w:rsid w:val="003962E6"/>
    <w:rsid w:val="003A1AF9"/>
    <w:rsid w:val="003A3F7E"/>
    <w:rsid w:val="003B3543"/>
    <w:rsid w:val="003C0B83"/>
    <w:rsid w:val="003C32B8"/>
    <w:rsid w:val="003C37A9"/>
    <w:rsid w:val="003C58ED"/>
    <w:rsid w:val="003D2C04"/>
    <w:rsid w:val="003E546D"/>
    <w:rsid w:val="003F56FC"/>
    <w:rsid w:val="003F7CB8"/>
    <w:rsid w:val="0040622F"/>
    <w:rsid w:val="00424EEC"/>
    <w:rsid w:val="00432340"/>
    <w:rsid w:val="00450CE8"/>
    <w:rsid w:val="00455834"/>
    <w:rsid w:val="00475796"/>
    <w:rsid w:val="00476DE3"/>
    <w:rsid w:val="004817A1"/>
    <w:rsid w:val="004863D1"/>
    <w:rsid w:val="004955A7"/>
    <w:rsid w:val="00497BE0"/>
    <w:rsid w:val="004A40A2"/>
    <w:rsid w:val="004B41E0"/>
    <w:rsid w:val="004B4813"/>
    <w:rsid w:val="004B5CD8"/>
    <w:rsid w:val="004C4E96"/>
    <w:rsid w:val="004C5B39"/>
    <w:rsid w:val="004D2575"/>
    <w:rsid w:val="004D3A24"/>
    <w:rsid w:val="004D4788"/>
    <w:rsid w:val="004E117E"/>
    <w:rsid w:val="004E3788"/>
    <w:rsid w:val="004E4C58"/>
    <w:rsid w:val="004E56AD"/>
    <w:rsid w:val="004E7441"/>
    <w:rsid w:val="004F6BB9"/>
    <w:rsid w:val="00505665"/>
    <w:rsid w:val="005171DB"/>
    <w:rsid w:val="005204E5"/>
    <w:rsid w:val="00521094"/>
    <w:rsid w:val="005231B0"/>
    <w:rsid w:val="00524536"/>
    <w:rsid w:val="005302BF"/>
    <w:rsid w:val="005303A3"/>
    <w:rsid w:val="00530C2A"/>
    <w:rsid w:val="00533620"/>
    <w:rsid w:val="00534350"/>
    <w:rsid w:val="0053580C"/>
    <w:rsid w:val="00536BF8"/>
    <w:rsid w:val="0054079A"/>
    <w:rsid w:val="0054360D"/>
    <w:rsid w:val="005442C9"/>
    <w:rsid w:val="00545CF9"/>
    <w:rsid w:val="005520EC"/>
    <w:rsid w:val="00553856"/>
    <w:rsid w:val="005567C9"/>
    <w:rsid w:val="00564E1F"/>
    <w:rsid w:val="005734D3"/>
    <w:rsid w:val="00576B53"/>
    <w:rsid w:val="0057751E"/>
    <w:rsid w:val="00584682"/>
    <w:rsid w:val="00591AA6"/>
    <w:rsid w:val="005A54AE"/>
    <w:rsid w:val="005A6F32"/>
    <w:rsid w:val="005B0773"/>
    <w:rsid w:val="005C3B7C"/>
    <w:rsid w:val="005C5554"/>
    <w:rsid w:val="005C7D00"/>
    <w:rsid w:val="005D008F"/>
    <w:rsid w:val="005D2544"/>
    <w:rsid w:val="005E2D72"/>
    <w:rsid w:val="005E4DAD"/>
    <w:rsid w:val="005E631E"/>
    <w:rsid w:val="005F1A29"/>
    <w:rsid w:val="005F3306"/>
    <w:rsid w:val="005F5E9A"/>
    <w:rsid w:val="006008EF"/>
    <w:rsid w:val="00604C27"/>
    <w:rsid w:val="00606686"/>
    <w:rsid w:val="00606E12"/>
    <w:rsid w:val="006145A0"/>
    <w:rsid w:val="00614672"/>
    <w:rsid w:val="0061579E"/>
    <w:rsid w:val="00616916"/>
    <w:rsid w:val="00622104"/>
    <w:rsid w:val="006241BB"/>
    <w:rsid w:val="00625098"/>
    <w:rsid w:val="006273DA"/>
    <w:rsid w:val="006434B2"/>
    <w:rsid w:val="00646ED5"/>
    <w:rsid w:val="00650450"/>
    <w:rsid w:val="00650C63"/>
    <w:rsid w:val="00654BEC"/>
    <w:rsid w:val="00655206"/>
    <w:rsid w:val="00656055"/>
    <w:rsid w:val="006703AE"/>
    <w:rsid w:val="00670CE7"/>
    <w:rsid w:val="00677AB9"/>
    <w:rsid w:val="006839FB"/>
    <w:rsid w:val="00691093"/>
    <w:rsid w:val="00693265"/>
    <w:rsid w:val="006932B4"/>
    <w:rsid w:val="00694EDC"/>
    <w:rsid w:val="006A20DE"/>
    <w:rsid w:val="006A6FA9"/>
    <w:rsid w:val="006B5CB0"/>
    <w:rsid w:val="006B5CC1"/>
    <w:rsid w:val="006C096F"/>
    <w:rsid w:val="006C29B4"/>
    <w:rsid w:val="006C5E30"/>
    <w:rsid w:val="0070198B"/>
    <w:rsid w:val="007107D4"/>
    <w:rsid w:val="00713DB0"/>
    <w:rsid w:val="00717B98"/>
    <w:rsid w:val="00721DB2"/>
    <w:rsid w:val="007232E6"/>
    <w:rsid w:val="00723927"/>
    <w:rsid w:val="00733B5D"/>
    <w:rsid w:val="00747389"/>
    <w:rsid w:val="00751969"/>
    <w:rsid w:val="007529A6"/>
    <w:rsid w:val="0075331F"/>
    <w:rsid w:val="007616C8"/>
    <w:rsid w:val="00770596"/>
    <w:rsid w:val="00771213"/>
    <w:rsid w:val="0078669E"/>
    <w:rsid w:val="00795F6A"/>
    <w:rsid w:val="007965B7"/>
    <w:rsid w:val="007B475C"/>
    <w:rsid w:val="007C2B5A"/>
    <w:rsid w:val="007C4179"/>
    <w:rsid w:val="007C5AC2"/>
    <w:rsid w:val="007E1115"/>
    <w:rsid w:val="007E1FBB"/>
    <w:rsid w:val="007E784C"/>
    <w:rsid w:val="007F0BA1"/>
    <w:rsid w:val="007F31C1"/>
    <w:rsid w:val="007F484E"/>
    <w:rsid w:val="008024EE"/>
    <w:rsid w:val="00803F2D"/>
    <w:rsid w:val="00820592"/>
    <w:rsid w:val="00820DA7"/>
    <w:rsid w:val="0082219D"/>
    <w:rsid w:val="00822ACA"/>
    <w:rsid w:val="00830EDB"/>
    <w:rsid w:val="008365F5"/>
    <w:rsid w:val="0084478D"/>
    <w:rsid w:val="008460A9"/>
    <w:rsid w:val="0085109A"/>
    <w:rsid w:val="00863837"/>
    <w:rsid w:val="0086462A"/>
    <w:rsid w:val="008674CA"/>
    <w:rsid w:val="00870DED"/>
    <w:rsid w:val="00871F56"/>
    <w:rsid w:val="00875D4D"/>
    <w:rsid w:val="00886482"/>
    <w:rsid w:val="0089018A"/>
    <w:rsid w:val="00892FE2"/>
    <w:rsid w:val="00897949"/>
    <w:rsid w:val="008A4A1C"/>
    <w:rsid w:val="008A6518"/>
    <w:rsid w:val="008A6B70"/>
    <w:rsid w:val="008B3138"/>
    <w:rsid w:val="008E0EEA"/>
    <w:rsid w:val="008E2DA4"/>
    <w:rsid w:val="008F495E"/>
    <w:rsid w:val="008F6A9F"/>
    <w:rsid w:val="00906C3F"/>
    <w:rsid w:val="009209F0"/>
    <w:rsid w:val="00922184"/>
    <w:rsid w:val="00924A57"/>
    <w:rsid w:val="0092525B"/>
    <w:rsid w:val="0093628B"/>
    <w:rsid w:val="00937B06"/>
    <w:rsid w:val="009536EB"/>
    <w:rsid w:val="00954EBE"/>
    <w:rsid w:val="00955569"/>
    <w:rsid w:val="0096052A"/>
    <w:rsid w:val="009621AE"/>
    <w:rsid w:val="00964C22"/>
    <w:rsid w:val="00966423"/>
    <w:rsid w:val="00972579"/>
    <w:rsid w:val="00977317"/>
    <w:rsid w:val="00981167"/>
    <w:rsid w:val="009836B9"/>
    <w:rsid w:val="0098495E"/>
    <w:rsid w:val="009A3101"/>
    <w:rsid w:val="009A3958"/>
    <w:rsid w:val="009A474F"/>
    <w:rsid w:val="009B044F"/>
    <w:rsid w:val="009B4B98"/>
    <w:rsid w:val="009B5268"/>
    <w:rsid w:val="009B5C4D"/>
    <w:rsid w:val="009B67B3"/>
    <w:rsid w:val="009C70D0"/>
    <w:rsid w:val="009F16FB"/>
    <w:rsid w:val="009F41FB"/>
    <w:rsid w:val="009F686C"/>
    <w:rsid w:val="00A1344D"/>
    <w:rsid w:val="00A13E6E"/>
    <w:rsid w:val="00A13EF7"/>
    <w:rsid w:val="00A15C2B"/>
    <w:rsid w:val="00A15FBA"/>
    <w:rsid w:val="00A22F32"/>
    <w:rsid w:val="00A26605"/>
    <w:rsid w:val="00A26F10"/>
    <w:rsid w:val="00A27B58"/>
    <w:rsid w:val="00A30F21"/>
    <w:rsid w:val="00A3326A"/>
    <w:rsid w:val="00A44084"/>
    <w:rsid w:val="00A44E7A"/>
    <w:rsid w:val="00A47926"/>
    <w:rsid w:val="00A5785E"/>
    <w:rsid w:val="00A65C63"/>
    <w:rsid w:val="00A677CB"/>
    <w:rsid w:val="00A7280D"/>
    <w:rsid w:val="00A739B3"/>
    <w:rsid w:val="00A770F3"/>
    <w:rsid w:val="00A90DDE"/>
    <w:rsid w:val="00A9169F"/>
    <w:rsid w:val="00A93F8D"/>
    <w:rsid w:val="00A95879"/>
    <w:rsid w:val="00AB0273"/>
    <w:rsid w:val="00AB11E0"/>
    <w:rsid w:val="00AB5974"/>
    <w:rsid w:val="00AC0C56"/>
    <w:rsid w:val="00AC1171"/>
    <w:rsid w:val="00AC35BC"/>
    <w:rsid w:val="00AD19DA"/>
    <w:rsid w:val="00AD7514"/>
    <w:rsid w:val="00AD7639"/>
    <w:rsid w:val="00AE05E4"/>
    <w:rsid w:val="00AE7442"/>
    <w:rsid w:val="00AF31BB"/>
    <w:rsid w:val="00B02247"/>
    <w:rsid w:val="00B060A2"/>
    <w:rsid w:val="00B06E8F"/>
    <w:rsid w:val="00B14928"/>
    <w:rsid w:val="00B24662"/>
    <w:rsid w:val="00B32CD4"/>
    <w:rsid w:val="00B33C98"/>
    <w:rsid w:val="00B34809"/>
    <w:rsid w:val="00B35B5E"/>
    <w:rsid w:val="00B40478"/>
    <w:rsid w:val="00B42CBB"/>
    <w:rsid w:val="00B462D8"/>
    <w:rsid w:val="00B46B22"/>
    <w:rsid w:val="00B53337"/>
    <w:rsid w:val="00B54DF8"/>
    <w:rsid w:val="00B56673"/>
    <w:rsid w:val="00B83875"/>
    <w:rsid w:val="00B83CC2"/>
    <w:rsid w:val="00B85938"/>
    <w:rsid w:val="00B875D6"/>
    <w:rsid w:val="00B910B7"/>
    <w:rsid w:val="00B91DBB"/>
    <w:rsid w:val="00BA361C"/>
    <w:rsid w:val="00BA5BEB"/>
    <w:rsid w:val="00BA6483"/>
    <w:rsid w:val="00BB2E55"/>
    <w:rsid w:val="00BB53C4"/>
    <w:rsid w:val="00BB7306"/>
    <w:rsid w:val="00BC3F9B"/>
    <w:rsid w:val="00BC437A"/>
    <w:rsid w:val="00BD2AB9"/>
    <w:rsid w:val="00BD412C"/>
    <w:rsid w:val="00BE1548"/>
    <w:rsid w:val="00BE233F"/>
    <w:rsid w:val="00BE4085"/>
    <w:rsid w:val="00BF3853"/>
    <w:rsid w:val="00C02CCE"/>
    <w:rsid w:val="00C038DB"/>
    <w:rsid w:val="00C10362"/>
    <w:rsid w:val="00C13E43"/>
    <w:rsid w:val="00C13E8F"/>
    <w:rsid w:val="00C21F0F"/>
    <w:rsid w:val="00C2345C"/>
    <w:rsid w:val="00C23553"/>
    <w:rsid w:val="00C2561D"/>
    <w:rsid w:val="00C31695"/>
    <w:rsid w:val="00C37D9B"/>
    <w:rsid w:val="00C40AFB"/>
    <w:rsid w:val="00C40E27"/>
    <w:rsid w:val="00C43A45"/>
    <w:rsid w:val="00C51763"/>
    <w:rsid w:val="00C54133"/>
    <w:rsid w:val="00C60950"/>
    <w:rsid w:val="00C60B17"/>
    <w:rsid w:val="00C659A6"/>
    <w:rsid w:val="00C66850"/>
    <w:rsid w:val="00C6701F"/>
    <w:rsid w:val="00C77AF3"/>
    <w:rsid w:val="00C816CA"/>
    <w:rsid w:val="00C87B4F"/>
    <w:rsid w:val="00C953D4"/>
    <w:rsid w:val="00C95F52"/>
    <w:rsid w:val="00CA0ECB"/>
    <w:rsid w:val="00CA3969"/>
    <w:rsid w:val="00CA4CB8"/>
    <w:rsid w:val="00CA73B2"/>
    <w:rsid w:val="00CB5420"/>
    <w:rsid w:val="00CB7882"/>
    <w:rsid w:val="00CC0BC1"/>
    <w:rsid w:val="00CC65A3"/>
    <w:rsid w:val="00CC7A48"/>
    <w:rsid w:val="00CD1D80"/>
    <w:rsid w:val="00CE19E8"/>
    <w:rsid w:val="00CE2483"/>
    <w:rsid w:val="00CE4A9A"/>
    <w:rsid w:val="00CF1E57"/>
    <w:rsid w:val="00D03335"/>
    <w:rsid w:val="00D051CD"/>
    <w:rsid w:val="00D074A8"/>
    <w:rsid w:val="00D1010B"/>
    <w:rsid w:val="00D15BBC"/>
    <w:rsid w:val="00D204A3"/>
    <w:rsid w:val="00D2282F"/>
    <w:rsid w:val="00D22CD9"/>
    <w:rsid w:val="00D31B94"/>
    <w:rsid w:val="00D3405A"/>
    <w:rsid w:val="00D40FE5"/>
    <w:rsid w:val="00D41640"/>
    <w:rsid w:val="00D50623"/>
    <w:rsid w:val="00D5256C"/>
    <w:rsid w:val="00D57795"/>
    <w:rsid w:val="00D63CA0"/>
    <w:rsid w:val="00D655F1"/>
    <w:rsid w:val="00D659CA"/>
    <w:rsid w:val="00D678D3"/>
    <w:rsid w:val="00D72E72"/>
    <w:rsid w:val="00D76AD3"/>
    <w:rsid w:val="00D84441"/>
    <w:rsid w:val="00D8564C"/>
    <w:rsid w:val="00D97898"/>
    <w:rsid w:val="00DA1DEB"/>
    <w:rsid w:val="00DA20AE"/>
    <w:rsid w:val="00DA4792"/>
    <w:rsid w:val="00DC39D4"/>
    <w:rsid w:val="00DC54A7"/>
    <w:rsid w:val="00DD5F2E"/>
    <w:rsid w:val="00DD6500"/>
    <w:rsid w:val="00DD7580"/>
    <w:rsid w:val="00DE3060"/>
    <w:rsid w:val="00DE5D2B"/>
    <w:rsid w:val="00DF4F2B"/>
    <w:rsid w:val="00DF58B9"/>
    <w:rsid w:val="00DF631F"/>
    <w:rsid w:val="00E006C8"/>
    <w:rsid w:val="00E014E1"/>
    <w:rsid w:val="00E04EB4"/>
    <w:rsid w:val="00E05459"/>
    <w:rsid w:val="00E105FF"/>
    <w:rsid w:val="00E15D6C"/>
    <w:rsid w:val="00E15E37"/>
    <w:rsid w:val="00E17C41"/>
    <w:rsid w:val="00E23136"/>
    <w:rsid w:val="00E24310"/>
    <w:rsid w:val="00E24AA8"/>
    <w:rsid w:val="00E27DB6"/>
    <w:rsid w:val="00E32DFD"/>
    <w:rsid w:val="00E3634B"/>
    <w:rsid w:val="00E4144A"/>
    <w:rsid w:val="00E4288A"/>
    <w:rsid w:val="00E42CB1"/>
    <w:rsid w:val="00E43AA5"/>
    <w:rsid w:val="00E46A89"/>
    <w:rsid w:val="00E50C72"/>
    <w:rsid w:val="00E55AE3"/>
    <w:rsid w:val="00E63D21"/>
    <w:rsid w:val="00E76386"/>
    <w:rsid w:val="00E777BD"/>
    <w:rsid w:val="00E87211"/>
    <w:rsid w:val="00E92687"/>
    <w:rsid w:val="00E95FF4"/>
    <w:rsid w:val="00E96B4E"/>
    <w:rsid w:val="00E973AE"/>
    <w:rsid w:val="00E97B65"/>
    <w:rsid w:val="00EA3263"/>
    <w:rsid w:val="00EA61F8"/>
    <w:rsid w:val="00EA6562"/>
    <w:rsid w:val="00EB0352"/>
    <w:rsid w:val="00EB0F44"/>
    <w:rsid w:val="00EB1877"/>
    <w:rsid w:val="00EB40DD"/>
    <w:rsid w:val="00EC0294"/>
    <w:rsid w:val="00EC0CD5"/>
    <w:rsid w:val="00EC18FA"/>
    <w:rsid w:val="00EC6864"/>
    <w:rsid w:val="00EC7650"/>
    <w:rsid w:val="00ED1B2F"/>
    <w:rsid w:val="00ED7581"/>
    <w:rsid w:val="00EE1CCF"/>
    <w:rsid w:val="00EE486F"/>
    <w:rsid w:val="00EF170B"/>
    <w:rsid w:val="00EF726F"/>
    <w:rsid w:val="00EF754A"/>
    <w:rsid w:val="00F03AB5"/>
    <w:rsid w:val="00F03EFF"/>
    <w:rsid w:val="00F05ABE"/>
    <w:rsid w:val="00F06500"/>
    <w:rsid w:val="00F13DB1"/>
    <w:rsid w:val="00F14511"/>
    <w:rsid w:val="00F1657C"/>
    <w:rsid w:val="00F21A27"/>
    <w:rsid w:val="00F21B61"/>
    <w:rsid w:val="00F35200"/>
    <w:rsid w:val="00F360CA"/>
    <w:rsid w:val="00F44E21"/>
    <w:rsid w:val="00F61973"/>
    <w:rsid w:val="00F70CA2"/>
    <w:rsid w:val="00F728BC"/>
    <w:rsid w:val="00F7653B"/>
    <w:rsid w:val="00F81EB0"/>
    <w:rsid w:val="00F86871"/>
    <w:rsid w:val="00F9168C"/>
    <w:rsid w:val="00F93C15"/>
    <w:rsid w:val="00FA10C5"/>
    <w:rsid w:val="00FA392B"/>
    <w:rsid w:val="00FA5659"/>
    <w:rsid w:val="00FA715E"/>
    <w:rsid w:val="00FB0BC6"/>
    <w:rsid w:val="00FC4D80"/>
    <w:rsid w:val="00FD3D4F"/>
    <w:rsid w:val="00FD75AF"/>
    <w:rsid w:val="00FE0150"/>
    <w:rsid w:val="00FE3AA8"/>
    <w:rsid w:val="00FE3CC2"/>
    <w:rsid w:val="00FE69B3"/>
    <w:rsid w:val="00FF6A30"/>
    <w:rsid w:val="00FF7F6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159720-4C48-444E-A0AB-AB0D5D4A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C1E"/>
  </w:style>
  <w:style w:type="paragraph" w:styleId="Heading1">
    <w:name w:val="heading 1"/>
    <w:basedOn w:val="Normal"/>
    <w:next w:val="Normal"/>
    <w:link w:val="Heading1Char"/>
    <w:qFormat/>
    <w:rsid w:val="00FA715E"/>
    <w:pPr>
      <w:keepNext/>
      <w:spacing w:after="0" w:line="240" w:lineRule="auto"/>
      <w:outlineLvl w:val="0"/>
    </w:pPr>
    <w:rPr>
      <w:rFonts w:ascii="Times New Roman" w:eastAsia="Times New Roman" w:hAnsi="Times New Roman" w:cs="Times New Roman"/>
      <w:b/>
      <w:bCs/>
      <w:sz w:val="24"/>
      <w:szCs w:val="24"/>
      <w:lang w:val="en-US" w:eastAsia="en-US"/>
    </w:rPr>
  </w:style>
  <w:style w:type="paragraph" w:styleId="Heading2">
    <w:name w:val="heading 2"/>
    <w:basedOn w:val="Normal"/>
    <w:next w:val="Normal"/>
    <w:link w:val="Heading2Char"/>
    <w:qFormat/>
    <w:rsid w:val="00FA715E"/>
    <w:pPr>
      <w:keepNext/>
      <w:spacing w:after="0" w:line="240" w:lineRule="auto"/>
      <w:jc w:val="center"/>
      <w:outlineLvl w:val="1"/>
    </w:pPr>
    <w:rPr>
      <w:rFonts w:ascii="Times New Roman" w:eastAsia="Times New Roman" w:hAnsi="Times New Roman" w:cs="Times New Roman"/>
      <w:b/>
      <w:sz w:val="28"/>
      <w:szCs w:val="20"/>
      <w:lang w:val="sq-AL" w:eastAsia="en-US"/>
    </w:rPr>
  </w:style>
  <w:style w:type="paragraph" w:styleId="Heading3">
    <w:name w:val="heading 3"/>
    <w:basedOn w:val="Normal"/>
    <w:next w:val="Normal"/>
    <w:link w:val="Heading3Char"/>
    <w:qFormat/>
    <w:rsid w:val="00FA715E"/>
    <w:pPr>
      <w:keepNext/>
      <w:spacing w:after="0" w:line="240" w:lineRule="auto"/>
      <w:jc w:val="center"/>
      <w:outlineLvl w:val="2"/>
    </w:pPr>
    <w:rPr>
      <w:rFonts w:ascii="Times New Roman" w:eastAsia="Times New Roman" w:hAnsi="Times New Roman" w:cs="Times New Roman"/>
      <w:b/>
      <w:i/>
      <w:iCs/>
      <w:sz w:val="24"/>
      <w:szCs w:val="24"/>
      <w:lang w:val="sq-A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3853"/>
    <w:pPr>
      <w:spacing w:after="0" w:line="240" w:lineRule="auto"/>
      <w:jc w:val="center"/>
    </w:pPr>
    <w:rPr>
      <w:rFonts w:ascii="Times New Roman" w:eastAsia="Times New Roman" w:hAnsi="Times New Roman" w:cs="Times New Roman"/>
      <w:b/>
      <w:sz w:val="24"/>
      <w:szCs w:val="20"/>
      <w:lang w:val="en-US" w:eastAsia="en-US"/>
    </w:rPr>
  </w:style>
  <w:style w:type="character" w:customStyle="1" w:styleId="TitleChar">
    <w:name w:val="Title Char"/>
    <w:basedOn w:val="DefaultParagraphFont"/>
    <w:link w:val="Title"/>
    <w:rsid w:val="00BF3853"/>
    <w:rPr>
      <w:rFonts w:ascii="Times New Roman" w:eastAsia="Times New Roman" w:hAnsi="Times New Roman" w:cs="Times New Roman"/>
      <w:b/>
      <w:sz w:val="24"/>
      <w:szCs w:val="20"/>
      <w:lang w:val="en-US" w:eastAsia="en-US"/>
    </w:rPr>
  </w:style>
  <w:style w:type="paragraph" w:styleId="Footer">
    <w:name w:val="footer"/>
    <w:aliases w:val=" Char,Char"/>
    <w:basedOn w:val="Normal"/>
    <w:link w:val="FooterChar"/>
    <w:uiPriority w:val="99"/>
    <w:unhideWhenUsed/>
    <w:rsid w:val="00BF3853"/>
    <w:pPr>
      <w:tabs>
        <w:tab w:val="center" w:pos="4680"/>
        <w:tab w:val="right" w:pos="9360"/>
      </w:tabs>
      <w:spacing w:after="0" w:line="240" w:lineRule="auto"/>
    </w:pPr>
    <w:rPr>
      <w:rFonts w:ascii="Calibri" w:eastAsia="Calibri" w:hAnsi="Calibri" w:cs="Times New Roman"/>
      <w:lang w:val="en-US" w:eastAsia="en-US"/>
    </w:rPr>
  </w:style>
  <w:style w:type="character" w:customStyle="1" w:styleId="FooterChar">
    <w:name w:val="Footer Char"/>
    <w:aliases w:val=" Char Char,Char Char"/>
    <w:basedOn w:val="DefaultParagraphFont"/>
    <w:link w:val="Footer"/>
    <w:uiPriority w:val="99"/>
    <w:rsid w:val="00BF3853"/>
    <w:rPr>
      <w:rFonts w:ascii="Calibri" w:eastAsia="Calibri" w:hAnsi="Calibri" w:cs="Times New Roman"/>
      <w:lang w:val="en-US" w:eastAsia="en-US"/>
    </w:rPr>
  </w:style>
  <w:style w:type="character" w:styleId="Hyperlink">
    <w:name w:val="Hyperlink"/>
    <w:basedOn w:val="DefaultParagraphFont"/>
    <w:unhideWhenUsed/>
    <w:rsid w:val="00BF3853"/>
    <w:rPr>
      <w:color w:val="0000FF"/>
      <w:u w:val="single"/>
    </w:rPr>
  </w:style>
  <w:style w:type="paragraph" w:styleId="NoSpacing">
    <w:name w:val="No Spacing"/>
    <w:uiPriority w:val="1"/>
    <w:qFormat/>
    <w:rsid w:val="00BF3853"/>
    <w:pPr>
      <w:spacing w:after="0"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4C5B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94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DC"/>
  </w:style>
  <w:style w:type="paragraph" w:styleId="BalloonText">
    <w:name w:val="Balloon Text"/>
    <w:basedOn w:val="Normal"/>
    <w:link w:val="BalloonTextChar"/>
    <w:uiPriority w:val="99"/>
    <w:semiHidden/>
    <w:unhideWhenUsed/>
    <w:rsid w:val="00875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D4D"/>
    <w:rPr>
      <w:rFonts w:ascii="Segoe UI" w:hAnsi="Segoe UI" w:cs="Segoe UI"/>
      <w:sz w:val="18"/>
      <w:szCs w:val="18"/>
    </w:rPr>
  </w:style>
  <w:style w:type="paragraph" w:styleId="ListParagraph">
    <w:name w:val="List Paragraph"/>
    <w:basedOn w:val="Normal"/>
    <w:link w:val="ListParagraphChar"/>
    <w:uiPriority w:val="34"/>
    <w:qFormat/>
    <w:rsid w:val="00524536"/>
    <w:pPr>
      <w:ind w:left="720"/>
      <w:contextualSpacing/>
    </w:pPr>
  </w:style>
  <w:style w:type="character" w:styleId="PlaceholderText">
    <w:name w:val="Placeholder Text"/>
    <w:basedOn w:val="DefaultParagraphFont"/>
    <w:uiPriority w:val="99"/>
    <w:semiHidden/>
    <w:rsid w:val="00B46B22"/>
    <w:rPr>
      <w:color w:val="808080"/>
    </w:rPr>
  </w:style>
  <w:style w:type="paragraph" w:styleId="NormalWeb">
    <w:name w:val="Normal (Web)"/>
    <w:basedOn w:val="Normal"/>
    <w:uiPriority w:val="99"/>
    <w:unhideWhenUsed/>
    <w:rsid w:val="0012224A"/>
    <w:pPr>
      <w:spacing w:before="100" w:beforeAutospacing="1" w:after="100" w:afterAutospacing="1" w:line="240" w:lineRule="auto"/>
    </w:pPr>
    <w:rPr>
      <w:rFonts w:ascii="Times New Roman" w:eastAsiaTheme="minorHAnsi" w:hAnsi="Times New Roman" w:cs="Times New Roman"/>
      <w:sz w:val="24"/>
      <w:szCs w:val="24"/>
      <w:lang w:val="sq-AL" w:eastAsia="sq-AL"/>
    </w:rPr>
  </w:style>
  <w:style w:type="character" w:customStyle="1" w:styleId="Heading1Char">
    <w:name w:val="Heading 1 Char"/>
    <w:basedOn w:val="DefaultParagraphFont"/>
    <w:link w:val="Heading1"/>
    <w:rsid w:val="00FA715E"/>
    <w:rPr>
      <w:rFonts w:ascii="Times New Roman" w:eastAsia="Times New Roman" w:hAnsi="Times New Roman" w:cs="Times New Roman"/>
      <w:b/>
      <w:bCs/>
      <w:sz w:val="24"/>
      <w:szCs w:val="24"/>
      <w:lang w:val="en-US" w:eastAsia="en-US"/>
    </w:rPr>
  </w:style>
  <w:style w:type="character" w:customStyle="1" w:styleId="Heading2Char">
    <w:name w:val="Heading 2 Char"/>
    <w:basedOn w:val="DefaultParagraphFont"/>
    <w:link w:val="Heading2"/>
    <w:rsid w:val="00FA715E"/>
    <w:rPr>
      <w:rFonts w:ascii="Times New Roman" w:eastAsia="Times New Roman" w:hAnsi="Times New Roman" w:cs="Times New Roman"/>
      <w:b/>
      <w:sz w:val="28"/>
      <w:szCs w:val="20"/>
      <w:lang w:val="sq-AL" w:eastAsia="en-US"/>
    </w:rPr>
  </w:style>
  <w:style w:type="character" w:customStyle="1" w:styleId="Heading3Char">
    <w:name w:val="Heading 3 Char"/>
    <w:basedOn w:val="DefaultParagraphFont"/>
    <w:link w:val="Heading3"/>
    <w:rsid w:val="00FA715E"/>
    <w:rPr>
      <w:rFonts w:ascii="Times New Roman" w:eastAsia="Times New Roman" w:hAnsi="Times New Roman" w:cs="Times New Roman"/>
      <w:b/>
      <w:i/>
      <w:iCs/>
      <w:sz w:val="24"/>
      <w:szCs w:val="24"/>
      <w:lang w:val="sq-AL" w:eastAsia="en-US"/>
    </w:rPr>
  </w:style>
  <w:style w:type="character" w:styleId="CommentReference">
    <w:name w:val="annotation reference"/>
    <w:uiPriority w:val="99"/>
    <w:semiHidden/>
    <w:rsid w:val="00FA715E"/>
    <w:rPr>
      <w:sz w:val="16"/>
      <w:szCs w:val="16"/>
    </w:rPr>
  </w:style>
  <w:style w:type="paragraph" w:styleId="CommentText">
    <w:name w:val="annotation text"/>
    <w:basedOn w:val="Normal"/>
    <w:link w:val="CommentTextChar"/>
    <w:uiPriority w:val="99"/>
    <w:semiHidden/>
    <w:rsid w:val="00FA715E"/>
    <w:pPr>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uiPriority w:val="99"/>
    <w:semiHidden/>
    <w:rsid w:val="00FA715E"/>
    <w:rPr>
      <w:rFonts w:ascii="Times New Roman" w:eastAsia="Times New Roman" w:hAnsi="Times New Roman" w:cs="Times New Roman"/>
      <w:sz w:val="20"/>
      <w:szCs w:val="20"/>
      <w:lang w:val="en-US" w:eastAsia="en-US"/>
    </w:rPr>
  </w:style>
  <w:style w:type="character" w:customStyle="1" w:styleId="spelle">
    <w:name w:val="spelle"/>
    <w:basedOn w:val="DefaultParagraphFont"/>
    <w:rsid w:val="00FA715E"/>
  </w:style>
  <w:style w:type="character" w:styleId="PageNumber">
    <w:name w:val="page number"/>
    <w:basedOn w:val="DefaultParagraphFont"/>
    <w:rsid w:val="00FA715E"/>
  </w:style>
  <w:style w:type="paragraph" w:customStyle="1" w:styleId="Normal0">
    <w:name w:val="[Normal]"/>
    <w:uiPriority w:val="99"/>
    <w:rsid w:val="00F03AB5"/>
    <w:pPr>
      <w:autoSpaceDE w:val="0"/>
      <w:autoSpaceDN w:val="0"/>
      <w:adjustRightInd w:val="0"/>
      <w:spacing w:after="0" w:line="240" w:lineRule="auto"/>
    </w:pPr>
    <w:rPr>
      <w:rFonts w:ascii="Arial" w:eastAsia="Times New Roman" w:hAnsi="Arial" w:cs="Arial"/>
      <w:sz w:val="24"/>
      <w:szCs w:val="24"/>
      <w:lang w:val="en-US" w:eastAsia="en-US"/>
    </w:rPr>
  </w:style>
  <w:style w:type="paragraph" w:styleId="CommentSubject">
    <w:name w:val="annotation subject"/>
    <w:basedOn w:val="CommentText"/>
    <w:next w:val="CommentText"/>
    <w:link w:val="CommentSubjectChar"/>
    <w:uiPriority w:val="99"/>
    <w:semiHidden/>
    <w:unhideWhenUsed/>
    <w:rsid w:val="00A15FBA"/>
    <w:pPr>
      <w:spacing w:after="200"/>
    </w:pPr>
    <w:rPr>
      <w:rFonts w:asciiTheme="minorHAnsi" w:eastAsiaTheme="minorEastAsia" w:hAnsiTheme="minorHAnsi" w:cstheme="minorBidi"/>
      <w:b/>
      <w:bCs/>
      <w:lang w:val="en-GB" w:eastAsia="en-GB"/>
    </w:rPr>
  </w:style>
  <w:style w:type="character" w:customStyle="1" w:styleId="CommentSubjectChar">
    <w:name w:val="Comment Subject Char"/>
    <w:basedOn w:val="CommentTextChar"/>
    <w:link w:val="CommentSubject"/>
    <w:uiPriority w:val="99"/>
    <w:semiHidden/>
    <w:rsid w:val="00A15FBA"/>
    <w:rPr>
      <w:rFonts w:ascii="Times New Roman" w:eastAsia="Times New Roman" w:hAnsi="Times New Roman" w:cs="Times New Roman"/>
      <w:b/>
      <w:bCs/>
      <w:sz w:val="20"/>
      <w:szCs w:val="20"/>
      <w:lang w:val="en-US" w:eastAsia="en-US"/>
    </w:rPr>
  </w:style>
  <w:style w:type="character" w:customStyle="1" w:styleId="ListParagraphChar">
    <w:name w:val="List Paragraph Char"/>
    <w:link w:val="ListParagraph"/>
    <w:uiPriority w:val="34"/>
    <w:locked/>
    <w:rsid w:val="00972579"/>
  </w:style>
  <w:style w:type="table" w:customStyle="1" w:styleId="GridTable4-Accent21">
    <w:name w:val="Grid Table 4 - Accent 21"/>
    <w:basedOn w:val="TableNormal"/>
    <w:uiPriority w:val="49"/>
    <w:rsid w:val="0097257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21">
    <w:name w:val="Grid Table 1 Light - Accent 21"/>
    <w:basedOn w:val="TableNormal"/>
    <w:uiPriority w:val="46"/>
    <w:rsid w:val="0097257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9725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2579"/>
    <w:rPr>
      <w:sz w:val="20"/>
      <w:szCs w:val="20"/>
    </w:rPr>
  </w:style>
  <w:style w:type="character" w:styleId="FootnoteReference">
    <w:name w:val="footnote reference"/>
    <w:basedOn w:val="DefaultParagraphFont"/>
    <w:uiPriority w:val="99"/>
    <w:semiHidden/>
    <w:unhideWhenUsed/>
    <w:rsid w:val="00972579"/>
    <w:rPr>
      <w:vertAlign w:val="superscript"/>
    </w:rPr>
  </w:style>
  <w:style w:type="paragraph" w:styleId="BodyText3">
    <w:name w:val="Body Text 3"/>
    <w:basedOn w:val="Normal"/>
    <w:link w:val="BodyText3Char"/>
    <w:uiPriority w:val="99"/>
    <w:semiHidden/>
    <w:rsid w:val="00972579"/>
    <w:pPr>
      <w:spacing w:after="120" w:line="240" w:lineRule="auto"/>
    </w:pPr>
    <w:rPr>
      <w:rFonts w:ascii="Times New Roman" w:eastAsia="Times New Roman" w:hAnsi="Times New Roman" w:cs="Times New Roman"/>
      <w:sz w:val="16"/>
      <w:szCs w:val="16"/>
      <w:lang w:val="en-US" w:eastAsia="zh-CN"/>
    </w:rPr>
  </w:style>
  <w:style w:type="character" w:customStyle="1" w:styleId="BodyText3Char">
    <w:name w:val="Body Text 3 Char"/>
    <w:basedOn w:val="DefaultParagraphFont"/>
    <w:link w:val="BodyText3"/>
    <w:uiPriority w:val="99"/>
    <w:semiHidden/>
    <w:rsid w:val="00972579"/>
    <w:rPr>
      <w:rFonts w:ascii="Times New Roman" w:eastAsia="Times New Roman" w:hAnsi="Times New Roman" w:cs="Times New Roman"/>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92352">
      <w:bodyDiv w:val="1"/>
      <w:marLeft w:val="0"/>
      <w:marRight w:val="0"/>
      <w:marTop w:val="0"/>
      <w:marBottom w:val="0"/>
      <w:divBdr>
        <w:top w:val="none" w:sz="0" w:space="0" w:color="auto"/>
        <w:left w:val="none" w:sz="0" w:space="0" w:color="auto"/>
        <w:bottom w:val="none" w:sz="0" w:space="0" w:color="auto"/>
        <w:right w:val="none" w:sz="0" w:space="0" w:color="auto"/>
      </w:divBdr>
    </w:div>
    <w:div w:id="437726497">
      <w:bodyDiv w:val="1"/>
      <w:marLeft w:val="0"/>
      <w:marRight w:val="0"/>
      <w:marTop w:val="0"/>
      <w:marBottom w:val="0"/>
      <w:divBdr>
        <w:top w:val="none" w:sz="0" w:space="0" w:color="auto"/>
        <w:left w:val="none" w:sz="0" w:space="0" w:color="auto"/>
        <w:bottom w:val="none" w:sz="0" w:space="0" w:color="auto"/>
        <w:right w:val="none" w:sz="0" w:space="0" w:color="auto"/>
      </w:divBdr>
    </w:div>
    <w:div w:id="585069295">
      <w:bodyDiv w:val="1"/>
      <w:marLeft w:val="0"/>
      <w:marRight w:val="0"/>
      <w:marTop w:val="0"/>
      <w:marBottom w:val="0"/>
      <w:divBdr>
        <w:top w:val="none" w:sz="0" w:space="0" w:color="auto"/>
        <w:left w:val="none" w:sz="0" w:space="0" w:color="auto"/>
        <w:bottom w:val="none" w:sz="0" w:space="0" w:color="auto"/>
        <w:right w:val="none" w:sz="0" w:space="0" w:color="auto"/>
      </w:divBdr>
    </w:div>
    <w:div w:id="1169903807">
      <w:bodyDiv w:val="1"/>
      <w:marLeft w:val="0"/>
      <w:marRight w:val="0"/>
      <w:marTop w:val="0"/>
      <w:marBottom w:val="0"/>
      <w:divBdr>
        <w:top w:val="none" w:sz="0" w:space="0" w:color="auto"/>
        <w:left w:val="none" w:sz="0" w:space="0" w:color="auto"/>
        <w:bottom w:val="none" w:sz="0" w:space="0" w:color="auto"/>
        <w:right w:val="none" w:sz="0" w:space="0" w:color="auto"/>
      </w:divBdr>
    </w:div>
    <w:div w:id="1223176696">
      <w:bodyDiv w:val="1"/>
      <w:marLeft w:val="0"/>
      <w:marRight w:val="0"/>
      <w:marTop w:val="0"/>
      <w:marBottom w:val="0"/>
      <w:divBdr>
        <w:top w:val="none" w:sz="0" w:space="0" w:color="auto"/>
        <w:left w:val="none" w:sz="0" w:space="0" w:color="auto"/>
        <w:bottom w:val="none" w:sz="0" w:space="0" w:color="auto"/>
        <w:right w:val="none" w:sz="0" w:space="0" w:color="auto"/>
      </w:divBdr>
    </w:div>
    <w:div w:id="1859192962">
      <w:bodyDiv w:val="1"/>
      <w:marLeft w:val="0"/>
      <w:marRight w:val="0"/>
      <w:marTop w:val="0"/>
      <w:marBottom w:val="0"/>
      <w:divBdr>
        <w:top w:val="none" w:sz="0" w:space="0" w:color="auto"/>
        <w:left w:val="none" w:sz="0" w:space="0" w:color="auto"/>
        <w:bottom w:val="none" w:sz="0" w:space="0" w:color="auto"/>
        <w:right w:val="none" w:sz="0" w:space="0" w:color="auto"/>
      </w:divBdr>
    </w:div>
    <w:div w:id="186440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footer1.xml.rels><?xml version="1.0" encoding="UTF-8" standalone="yes"?>
<Relationships xmlns="http://schemas.openxmlformats.org/package/2006/relationships"><Relationship Id="rId1" Type="http://schemas.openxmlformats.org/officeDocument/2006/relationships/hyperlink" Target="http://www.parlamen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rmira.kopliku.PARLAMENT\Documents\VITI%20%202018\grafike%20per%20analiza%20vjetore\grafike%20per%20analizen%20vjetore.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msung\Desktop\grafike%20per%20analizen%20vjetore.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msung\Desktop\grafike%20per%20analizen%20vjetor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msung\Desktop\grafike%20per%20analizen%20vjetore.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amsung\Desktop\grafike%20per%20analizen%20vjetore.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amsung\Desktop\grafike%20per%20analizen%20vjetor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Numri i punonjësve ( deputetë + staf politik dhe administrativ )</a:t>
            </a:r>
            <a:r>
              <a:rPr lang="en-US" baseline="0"/>
              <a:t> plan fakt në vite</a:t>
            </a:r>
            <a:endParaRPr lang="sq-AL"/>
          </a:p>
        </c:rich>
      </c:tx>
      <c:overlay val="0"/>
      <c:spPr>
        <a:noFill/>
        <a:ln>
          <a:noFill/>
        </a:ln>
        <a:effectLst/>
      </c:spPr>
    </c:title>
    <c:autoTitleDeleted val="0"/>
    <c:plotArea>
      <c:layout/>
      <c:barChart>
        <c:barDir val="col"/>
        <c:grouping val="clustered"/>
        <c:varyColors val="0"/>
        <c:ser>
          <c:idx val="0"/>
          <c:order val="0"/>
          <c:tx>
            <c:strRef>
              <c:f>'pagat, deputetstaf '!$F$31</c:f>
              <c:strCache>
                <c:ptCount val="1"/>
                <c:pt idx="0">
                  <c:v>Plan </c:v>
                </c:pt>
              </c:strCache>
            </c:strRef>
          </c:tx>
          <c:spPr>
            <a:solidFill>
              <a:schemeClr val="accent1"/>
            </a:solidFill>
            <a:ln>
              <a:noFill/>
            </a:ln>
            <a:effectLst/>
          </c:spPr>
          <c:invertIfNegative val="0"/>
          <c:cat>
            <c:strRef>
              <c:f>'pagat, deputetstaf '!$E$32:$E$37</c:f>
              <c:strCache>
                <c:ptCount val="5"/>
                <c:pt idx="0">
                  <c:v>vitit 2014</c:v>
                </c:pt>
                <c:pt idx="1">
                  <c:v>vitit 2015</c:v>
                </c:pt>
                <c:pt idx="2">
                  <c:v>vitit 2016</c:v>
                </c:pt>
                <c:pt idx="3">
                  <c:v>vitit 2017</c:v>
                </c:pt>
                <c:pt idx="4">
                  <c:v>vitit 2018</c:v>
                </c:pt>
              </c:strCache>
            </c:strRef>
          </c:cat>
          <c:val>
            <c:numRef>
              <c:f>'pagat, deputetstaf '!$F$32:$F$37</c:f>
              <c:numCache>
                <c:formatCode>General</c:formatCode>
                <c:ptCount val="6"/>
                <c:pt idx="0">
                  <c:v>361</c:v>
                </c:pt>
                <c:pt idx="1">
                  <c:v>396</c:v>
                </c:pt>
                <c:pt idx="2">
                  <c:v>405</c:v>
                </c:pt>
                <c:pt idx="3">
                  <c:v>405</c:v>
                </c:pt>
                <c:pt idx="4">
                  <c:v>405</c:v>
                </c:pt>
              </c:numCache>
            </c:numRef>
          </c:val>
        </c:ser>
        <c:ser>
          <c:idx val="1"/>
          <c:order val="1"/>
          <c:tx>
            <c:strRef>
              <c:f>'pagat, deputetstaf '!$G$31</c:f>
              <c:strCache>
                <c:ptCount val="1"/>
                <c:pt idx="0">
                  <c:v>fakt</c:v>
                </c:pt>
              </c:strCache>
            </c:strRef>
          </c:tx>
          <c:spPr>
            <a:solidFill>
              <a:schemeClr val="accent2"/>
            </a:solidFill>
            <a:ln>
              <a:noFill/>
            </a:ln>
            <a:effectLst/>
          </c:spPr>
          <c:invertIfNegative val="0"/>
          <c:cat>
            <c:strRef>
              <c:f>'pagat, deputetstaf '!$E$32:$E$37</c:f>
              <c:strCache>
                <c:ptCount val="5"/>
                <c:pt idx="0">
                  <c:v>vitit 2014</c:v>
                </c:pt>
                <c:pt idx="1">
                  <c:v>vitit 2015</c:v>
                </c:pt>
                <c:pt idx="2">
                  <c:v>vitit 2016</c:v>
                </c:pt>
                <c:pt idx="3">
                  <c:v>vitit 2017</c:v>
                </c:pt>
                <c:pt idx="4">
                  <c:v>vitit 2018</c:v>
                </c:pt>
              </c:strCache>
            </c:strRef>
          </c:cat>
          <c:val>
            <c:numRef>
              <c:f>'pagat, deputetstaf '!$G$32:$G$37</c:f>
              <c:numCache>
                <c:formatCode>General</c:formatCode>
                <c:ptCount val="6"/>
                <c:pt idx="0">
                  <c:v>349</c:v>
                </c:pt>
                <c:pt idx="1">
                  <c:v>365</c:v>
                </c:pt>
                <c:pt idx="2">
                  <c:v>370</c:v>
                </c:pt>
                <c:pt idx="3">
                  <c:v>344</c:v>
                </c:pt>
                <c:pt idx="4">
                  <c:v>344</c:v>
                </c:pt>
              </c:numCache>
            </c:numRef>
          </c:val>
        </c:ser>
        <c:dLbls>
          <c:showLegendKey val="0"/>
          <c:showVal val="0"/>
          <c:showCatName val="0"/>
          <c:showSerName val="0"/>
          <c:showPercent val="0"/>
          <c:showBubbleSize val="0"/>
        </c:dLbls>
        <c:gapWidth val="219"/>
        <c:overlap val="-27"/>
        <c:axId val="346513456"/>
        <c:axId val="346515136"/>
      </c:barChart>
      <c:catAx>
        <c:axId val="34651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346515136"/>
        <c:crosses val="autoZero"/>
        <c:auto val="1"/>
        <c:lblAlgn val="ctr"/>
        <c:lblOffset val="100"/>
        <c:noMultiLvlLbl val="0"/>
      </c:catAx>
      <c:valAx>
        <c:axId val="346515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3465134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q-AL"/>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q-A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Shpenzime per bileta,</a:t>
            </a:r>
            <a:r>
              <a:rPr lang="en-US" sz="1200" baseline="0"/>
              <a:t> dieta dhe akomodime ( aktivitete jasht</a:t>
            </a:r>
            <a:r>
              <a:rPr lang="en-US" sz="1200" b="1" i="0" u="none" strike="noStrike" kern="1200" baseline="0">
                <a:solidFill>
                  <a:sysClr val="windowText" lastClr="000000"/>
                </a:solidFill>
                <a:latin typeface="+mn-lt"/>
                <a:ea typeface="+mn-ea"/>
                <a:cs typeface="+mn-cs"/>
              </a:rPr>
              <a:t>ë</a:t>
            </a:r>
            <a:r>
              <a:rPr lang="en-US" sz="1200" baseline="0"/>
              <a:t> vendi)</a:t>
            </a:r>
            <a:endParaRPr lang="en-US" sz="1200"/>
          </a:p>
        </c:rich>
      </c:tx>
      <c:overlay val="0"/>
    </c:title>
    <c:autoTitleDeleted val="0"/>
    <c:plotArea>
      <c:layout/>
      <c:lineChart>
        <c:grouping val="standard"/>
        <c:varyColors val="0"/>
        <c:ser>
          <c:idx val="0"/>
          <c:order val="0"/>
          <c:cat>
            <c:strRef>
              <c:f>'viti 2018'!$A$131:$A$135</c:f>
              <c:strCache>
                <c:ptCount val="5"/>
                <c:pt idx="0">
                  <c:v>viti 2014</c:v>
                </c:pt>
                <c:pt idx="1">
                  <c:v>viti 2015</c:v>
                </c:pt>
                <c:pt idx="2">
                  <c:v>viti 2016</c:v>
                </c:pt>
                <c:pt idx="3">
                  <c:v>viti 2017</c:v>
                </c:pt>
                <c:pt idx="4">
                  <c:v>viti 2018</c:v>
                </c:pt>
              </c:strCache>
            </c:strRef>
          </c:cat>
          <c:val>
            <c:numRef>
              <c:f>'viti 2018'!$B$131:$B$135</c:f>
              <c:numCache>
                <c:formatCode>General</c:formatCode>
                <c:ptCount val="5"/>
                <c:pt idx="0">
                  <c:v>34.4</c:v>
                </c:pt>
                <c:pt idx="1">
                  <c:v>48.4</c:v>
                </c:pt>
                <c:pt idx="2">
                  <c:v>64.400000000000006</c:v>
                </c:pt>
                <c:pt idx="3">
                  <c:v>36</c:v>
                </c:pt>
                <c:pt idx="4">
                  <c:v>46.5</c:v>
                </c:pt>
              </c:numCache>
            </c:numRef>
          </c:val>
          <c:smooth val="0"/>
        </c:ser>
        <c:dLbls>
          <c:showLegendKey val="0"/>
          <c:showVal val="0"/>
          <c:showCatName val="0"/>
          <c:showSerName val="0"/>
          <c:showPercent val="0"/>
          <c:showBubbleSize val="0"/>
        </c:dLbls>
        <c:marker val="1"/>
        <c:smooth val="0"/>
        <c:axId val="348640592"/>
        <c:axId val="396143664"/>
      </c:lineChart>
      <c:catAx>
        <c:axId val="348640592"/>
        <c:scaling>
          <c:orientation val="minMax"/>
        </c:scaling>
        <c:delete val="0"/>
        <c:axPos val="b"/>
        <c:numFmt formatCode="General" sourceLinked="0"/>
        <c:majorTickMark val="none"/>
        <c:minorTickMark val="none"/>
        <c:tickLblPos val="nextTo"/>
        <c:crossAx val="396143664"/>
        <c:crosses val="autoZero"/>
        <c:auto val="1"/>
        <c:lblAlgn val="ctr"/>
        <c:lblOffset val="100"/>
        <c:noMultiLvlLbl val="0"/>
      </c:catAx>
      <c:valAx>
        <c:axId val="396143664"/>
        <c:scaling>
          <c:orientation val="minMax"/>
        </c:scaling>
        <c:delete val="0"/>
        <c:axPos val="l"/>
        <c:majorGridlines/>
        <c:numFmt formatCode="General" sourceLinked="1"/>
        <c:majorTickMark val="none"/>
        <c:minorTickMark val="none"/>
        <c:tickLblPos val="nextTo"/>
        <c:spPr>
          <a:ln w="6350">
            <a:noFill/>
          </a:ln>
        </c:spPr>
        <c:crossAx val="34864059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Shpenzime p</a:t>
            </a:r>
            <a:r>
              <a:rPr lang="en-US" sz="1200" b="1" i="0" u="none" strike="noStrike" kern="1200" baseline="0">
                <a:solidFill>
                  <a:sysClr val="windowText" lastClr="000000"/>
                </a:solidFill>
                <a:latin typeface="+mn-lt"/>
                <a:ea typeface="+mn-ea"/>
                <a:cs typeface="+mn-cs"/>
              </a:rPr>
              <a:t>ë</a:t>
            </a:r>
            <a:r>
              <a:rPr lang="en-US" sz="1200"/>
              <a:t>r publikime dhe botime ( n</a:t>
            </a:r>
            <a:r>
              <a:rPr lang="en-US" sz="1200" b="1" i="0" u="none" strike="noStrike" kern="1200" baseline="0">
                <a:solidFill>
                  <a:sysClr val="windowText" lastClr="000000"/>
                </a:solidFill>
                <a:latin typeface="+mn-lt"/>
                <a:ea typeface="+mn-ea"/>
                <a:cs typeface="+mn-cs"/>
              </a:rPr>
              <a:t>ë</a:t>
            </a:r>
            <a:r>
              <a:rPr lang="en-US" sz="1200"/>
              <a:t> milion lek</a:t>
            </a:r>
            <a:r>
              <a:rPr lang="en-US" sz="1200" b="1" i="0" u="none" strike="noStrike" kern="1200" baseline="0">
                <a:solidFill>
                  <a:sysClr val="windowText" lastClr="000000"/>
                </a:solidFill>
                <a:latin typeface="+mn-lt"/>
                <a:ea typeface="+mn-ea"/>
                <a:cs typeface="+mn-cs"/>
              </a:rPr>
              <a:t>ë</a:t>
            </a:r>
            <a:r>
              <a:rPr lang="en-US" sz="1200"/>
              <a:t>)</a:t>
            </a:r>
          </a:p>
        </c:rich>
      </c:tx>
      <c:overlay val="0"/>
    </c:title>
    <c:autoTitleDeleted val="0"/>
    <c:plotArea>
      <c:layout/>
      <c:lineChart>
        <c:grouping val="standard"/>
        <c:varyColors val="0"/>
        <c:ser>
          <c:idx val="0"/>
          <c:order val="0"/>
          <c:marker>
            <c:symbol val="none"/>
          </c:marker>
          <c:cat>
            <c:strRef>
              <c:f>'viti 2018'!$A$197:$A$200</c:f>
              <c:strCache>
                <c:ptCount val="4"/>
                <c:pt idx="0">
                  <c:v>viti 2015</c:v>
                </c:pt>
                <c:pt idx="1">
                  <c:v>viti 2016</c:v>
                </c:pt>
                <c:pt idx="2">
                  <c:v>viti 2017</c:v>
                </c:pt>
                <c:pt idx="3">
                  <c:v>viti 2018</c:v>
                </c:pt>
              </c:strCache>
            </c:strRef>
          </c:cat>
          <c:val>
            <c:numRef>
              <c:f>'viti 2018'!$B$197:$B$200</c:f>
              <c:numCache>
                <c:formatCode>General</c:formatCode>
                <c:ptCount val="4"/>
                <c:pt idx="0">
                  <c:v>2</c:v>
                </c:pt>
                <c:pt idx="1">
                  <c:v>10</c:v>
                </c:pt>
                <c:pt idx="2">
                  <c:v>7</c:v>
                </c:pt>
                <c:pt idx="3">
                  <c:v>8</c:v>
                </c:pt>
              </c:numCache>
            </c:numRef>
          </c:val>
          <c:smooth val="0"/>
        </c:ser>
        <c:dLbls>
          <c:showLegendKey val="0"/>
          <c:showVal val="0"/>
          <c:showCatName val="0"/>
          <c:showSerName val="0"/>
          <c:showPercent val="0"/>
          <c:showBubbleSize val="0"/>
        </c:dLbls>
        <c:smooth val="0"/>
        <c:axId val="358452768"/>
        <c:axId val="358452208"/>
      </c:lineChart>
      <c:catAx>
        <c:axId val="358452768"/>
        <c:scaling>
          <c:orientation val="minMax"/>
        </c:scaling>
        <c:delete val="0"/>
        <c:axPos val="b"/>
        <c:numFmt formatCode="General" sourceLinked="0"/>
        <c:majorTickMark val="out"/>
        <c:minorTickMark val="none"/>
        <c:tickLblPos val="nextTo"/>
        <c:crossAx val="358452208"/>
        <c:crosses val="autoZero"/>
        <c:auto val="1"/>
        <c:lblAlgn val="ctr"/>
        <c:lblOffset val="100"/>
        <c:noMultiLvlLbl val="0"/>
      </c:catAx>
      <c:valAx>
        <c:axId val="358452208"/>
        <c:scaling>
          <c:orientation val="minMax"/>
        </c:scaling>
        <c:delete val="0"/>
        <c:axPos val="l"/>
        <c:majorGridlines/>
        <c:numFmt formatCode="General" sourceLinked="1"/>
        <c:majorTickMark val="out"/>
        <c:minorTickMark val="none"/>
        <c:tickLblPos val="nextTo"/>
        <c:crossAx val="35845276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Paraqitje grafike e shpenzime p</a:t>
            </a:r>
            <a:r>
              <a:rPr lang="en-US" sz="1200" b="1" i="0" u="none" strike="noStrike" kern="1200" baseline="0">
                <a:solidFill>
                  <a:sysClr val="windowText" lastClr="000000"/>
                </a:solidFill>
                <a:latin typeface="+mn-lt"/>
                <a:ea typeface="+mn-ea"/>
                <a:cs typeface="+mn-cs"/>
              </a:rPr>
              <a:t>ë</a:t>
            </a:r>
            <a:r>
              <a:rPr lang="en-US" sz="1200"/>
              <a:t>r energji, uj</a:t>
            </a:r>
            <a:r>
              <a:rPr lang="en-US" sz="1200" b="1" i="0" u="none" strike="noStrike" kern="1200" baseline="0">
                <a:solidFill>
                  <a:sysClr val="windowText" lastClr="000000"/>
                </a:solidFill>
                <a:latin typeface="+mn-lt"/>
                <a:ea typeface="+mn-ea"/>
                <a:cs typeface="+mn-cs"/>
              </a:rPr>
              <a:t>ë</a:t>
            </a:r>
            <a:r>
              <a:rPr lang="en-US" sz="1200"/>
              <a:t> , telefon dhe sh</a:t>
            </a:r>
            <a:r>
              <a:rPr lang="en-US" sz="1200" b="1" i="0" u="none" strike="noStrike" kern="1200" baseline="0">
                <a:solidFill>
                  <a:sysClr val="windowText" lastClr="000000"/>
                </a:solidFill>
                <a:latin typeface="+mn-lt"/>
                <a:ea typeface="+mn-ea"/>
                <a:cs typeface="+mn-cs"/>
              </a:rPr>
              <a:t>ë</a:t>
            </a:r>
            <a:r>
              <a:rPr lang="en-US" sz="1200"/>
              <a:t>rbim postar, n</a:t>
            </a:r>
            <a:r>
              <a:rPr lang="en-US" sz="1200" b="1" i="0" u="none" strike="noStrike" kern="1200" baseline="0">
                <a:solidFill>
                  <a:sysClr val="windowText" lastClr="000000"/>
                </a:solidFill>
                <a:latin typeface="+mn-lt"/>
                <a:ea typeface="+mn-ea"/>
                <a:cs typeface="+mn-cs"/>
              </a:rPr>
              <a:t>ë</a:t>
            </a:r>
            <a:r>
              <a:rPr lang="en-US" sz="1200"/>
              <a:t> vite ( n</a:t>
            </a:r>
            <a:r>
              <a:rPr lang="en-US" sz="1200" b="1" i="0" u="none" strike="noStrike" kern="1200" baseline="0">
                <a:solidFill>
                  <a:sysClr val="windowText" lastClr="000000"/>
                </a:solidFill>
                <a:latin typeface="+mn-lt"/>
                <a:ea typeface="+mn-ea"/>
                <a:cs typeface="+mn-cs"/>
              </a:rPr>
              <a:t>ë</a:t>
            </a:r>
            <a:r>
              <a:rPr lang="en-US" sz="1200"/>
              <a:t> milion lek</a:t>
            </a:r>
            <a:r>
              <a:rPr lang="en-US" sz="1200" b="1" i="0" u="none" strike="noStrike" kern="1200" baseline="0">
                <a:solidFill>
                  <a:sysClr val="windowText" lastClr="000000"/>
                </a:solidFill>
                <a:latin typeface="+mn-lt"/>
                <a:ea typeface="+mn-ea"/>
                <a:cs typeface="+mn-cs"/>
              </a:rPr>
              <a:t>ë</a:t>
            </a:r>
            <a:r>
              <a:rPr lang="en-US" sz="1200"/>
              <a:t>)</a:t>
            </a:r>
          </a:p>
        </c:rich>
      </c:tx>
      <c:overlay val="0"/>
    </c:title>
    <c:autoTitleDeleted val="0"/>
    <c:plotArea>
      <c:layout/>
      <c:lineChart>
        <c:grouping val="stacked"/>
        <c:varyColors val="0"/>
        <c:ser>
          <c:idx val="0"/>
          <c:order val="0"/>
          <c:cat>
            <c:strRef>
              <c:f>'viti 2018'!$A$171:$A$175</c:f>
              <c:strCache>
                <c:ptCount val="5"/>
                <c:pt idx="0">
                  <c:v>viti 2014</c:v>
                </c:pt>
                <c:pt idx="1">
                  <c:v>viti 2015</c:v>
                </c:pt>
                <c:pt idx="2">
                  <c:v>viti 2016</c:v>
                </c:pt>
                <c:pt idx="3">
                  <c:v>viti 2017</c:v>
                </c:pt>
                <c:pt idx="4">
                  <c:v>viti 2018</c:v>
                </c:pt>
              </c:strCache>
            </c:strRef>
          </c:cat>
          <c:val>
            <c:numRef>
              <c:f>'viti 2018'!$B$171:$B$175</c:f>
              <c:numCache>
                <c:formatCode>General</c:formatCode>
                <c:ptCount val="5"/>
                <c:pt idx="0">
                  <c:v>17.7</c:v>
                </c:pt>
                <c:pt idx="1">
                  <c:v>9.9</c:v>
                </c:pt>
                <c:pt idx="2">
                  <c:v>12.5</c:v>
                </c:pt>
                <c:pt idx="3">
                  <c:v>11</c:v>
                </c:pt>
                <c:pt idx="4">
                  <c:v>11.9</c:v>
                </c:pt>
              </c:numCache>
            </c:numRef>
          </c:val>
          <c:smooth val="0"/>
        </c:ser>
        <c:dLbls>
          <c:showLegendKey val="0"/>
          <c:showVal val="0"/>
          <c:showCatName val="0"/>
          <c:showSerName val="0"/>
          <c:showPercent val="0"/>
          <c:showBubbleSize val="0"/>
        </c:dLbls>
        <c:marker val="1"/>
        <c:smooth val="0"/>
        <c:axId val="358883904"/>
        <c:axId val="403989072"/>
      </c:lineChart>
      <c:catAx>
        <c:axId val="358883904"/>
        <c:scaling>
          <c:orientation val="minMax"/>
        </c:scaling>
        <c:delete val="0"/>
        <c:axPos val="b"/>
        <c:numFmt formatCode="General" sourceLinked="0"/>
        <c:majorTickMark val="out"/>
        <c:minorTickMark val="none"/>
        <c:tickLblPos val="nextTo"/>
        <c:crossAx val="403989072"/>
        <c:crosses val="autoZero"/>
        <c:auto val="1"/>
        <c:lblAlgn val="ctr"/>
        <c:lblOffset val="100"/>
        <c:noMultiLvlLbl val="0"/>
      </c:catAx>
      <c:valAx>
        <c:axId val="403989072"/>
        <c:scaling>
          <c:orientation val="minMax"/>
        </c:scaling>
        <c:delete val="0"/>
        <c:axPos val="l"/>
        <c:majorGridlines/>
        <c:numFmt formatCode="General" sourceLinked="1"/>
        <c:majorTickMark val="out"/>
        <c:minorTickMark val="none"/>
        <c:tickLblPos val="nextTo"/>
        <c:crossAx val="358883904"/>
        <c:crosses val="autoZero"/>
        <c:crossBetween val="between"/>
      </c:valAx>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Shpenzime p</a:t>
            </a:r>
            <a:r>
              <a:rPr lang="en-US" sz="1200" b="1" i="0" u="none" strike="noStrike" kern="1200" baseline="0">
                <a:solidFill>
                  <a:sysClr val="windowText" lastClr="000000"/>
                </a:solidFill>
                <a:latin typeface="+mn-lt"/>
                <a:ea typeface="+mn-ea"/>
                <a:cs typeface="+mn-cs"/>
              </a:rPr>
              <a:t>ë</a:t>
            </a:r>
            <a:r>
              <a:rPr lang="en-US" sz="1200"/>
              <a:t>r blerje materiale</a:t>
            </a:r>
            <a:r>
              <a:rPr lang="en-US" sz="1200" baseline="0"/>
              <a:t> kancelarie dhe t</a:t>
            </a:r>
            <a:r>
              <a:rPr lang="en-US" sz="1200" b="1" i="0" u="none" strike="noStrike" kern="1200" baseline="0">
                <a:solidFill>
                  <a:sysClr val="windowText" lastClr="000000"/>
                </a:solidFill>
                <a:latin typeface="+mn-lt"/>
                <a:ea typeface="+mn-ea"/>
                <a:cs typeface="+mn-cs"/>
              </a:rPr>
              <a:t>ë</a:t>
            </a:r>
            <a:r>
              <a:rPr lang="en-US" sz="1200" baseline="0"/>
              <a:t> tjera p</a:t>
            </a:r>
            <a:r>
              <a:rPr lang="en-US" sz="1200" b="1" i="0" u="none" strike="noStrike" kern="1200" baseline="0">
                <a:solidFill>
                  <a:sysClr val="windowText" lastClr="000000"/>
                </a:solidFill>
                <a:latin typeface="+mn-lt"/>
                <a:ea typeface="+mn-ea"/>
                <a:cs typeface="+mn-cs"/>
              </a:rPr>
              <a:t>ë</a:t>
            </a:r>
            <a:r>
              <a:rPr lang="en-US" sz="1200" baseline="0"/>
              <a:t>r mir</a:t>
            </a:r>
            <a:r>
              <a:rPr lang="en-US" sz="1200" b="1" i="0" u="none" strike="noStrike" kern="1200" baseline="0">
                <a:solidFill>
                  <a:sysClr val="windowText" lastClr="000000"/>
                </a:solidFill>
                <a:latin typeface="+mn-lt"/>
                <a:ea typeface="+mn-ea"/>
                <a:cs typeface="+mn-cs"/>
              </a:rPr>
              <a:t>ë</a:t>
            </a:r>
            <a:r>
              <a:rPr lang="en-US" sz="1200" baseline="0"/>
              <a:t>mbajtje</a:t>
            </a:r>
            <a:endParaRPr lang="en-US" sz="1200"/>
          </a:p>
        </c:rich>
      </c:tx>
      <c:overlay val="0"/>
    </c:title>
    <c:autoTitleDeleted val="0"/>
    <c:plotArea>
      <c:layout/>
      <c:lineChart>
        <c:grouping val="stacked"/>
        <c:varyColors val="0"/>
        <c:ser>
          <c:idx val="0"/>
          <c:order val="0"/>
          <c:marker>
            <c:symbol val="none"/>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'viti 2018'!$A$186:$A$189</c:f>
              <c:strCache>
                <c:ptCount val="4"/>
                <c:pt idx="0">
                  <c:v>viti 2015</c:v>
                </c:pt>
                <c:pt idx="1">
                  <c:v>viti 2016</c:v>
                </c:pt>
                <c:pt idx="2">
                  <c:v>viti 2017</c:v>
                </c:pt>
                <c:pt idx="3">
                  <c:v>viti 2018</c:v>
                </c:pt>
              </c:strCache>
            </c:strRef>
          </c:cat>
          <c:val>
            <c:numRef>
              <c:f>'viti 2018'!$B$186:$B$189</c:f>
              <c:numCache>
                <c:formatCode>General</c:formatCode>
                <c:ptCount val="4"/>
                <c:pt idx="0">
                  <c:v>7</c:v>
                </c:pt>
                <c:pt idx="1">
                  <c:v>6.8</c:v>
                </c:pt>
                <c:pt idx="2">
                  <c:v>9.9</c:v>
                </c:pt>
                <c:pt idx="3">
                  <c:v>9</c:v>
                </c:pt>
              </c:numCache>
            </c:numRef>
          </c:val>
          <c:smooth val="0"/>
        </c:ser>
        <c:dLbls>
          <c:dLblPos val="b"/>
          <c:showLegendKey val="0"/>
          <c:showVal val="1"/>
          <c:showCatName val="0"/>
          <c:showSerName val="0"/>
          <c:showPercent val="0"/>
          <c:showBubbleSize val="0"/>
        </c:dLbls>
        <c:smooth val="0"/>
        <c:axId val="403991312"/>
        <c:axId val="403991872"/>
      </c:lineChart>
      <c:catAx>
        <c:axId val="403991312"/>
        <c:scaling>
          <c:orientation val="minMax"/>
        </c:scaling>
        <c:delete val="0"/>
        <c:axPos val="b"/>
        <c:numFmt formatCode="General" sourceLinked="0"/>
        <c:majorTickMark val="out"/>
        <c:minorTickMark val="none"/>
        <c:tickLblPos val="nextTo"/>
        <c:crossAx val="403991872"/>
        <c:crosses val="autoZero"/>
        <c:auto val="1"/>
        <c:lblAlgn val="ctr"/>
        <c:lblOffset val="100"/>
        <c:noMultiLvlLbl val="0"/>
      </c:catAx>
      <c:valAx>
        <c:axId val="403991872"/>
        <c:scaling>
          <c:orientation val="minMax"/>
        </c:scaling>
        <c:delete val="0"/>
        <c:axPos val="l"/>
        <c:majorGridlines/>
        <c:numFmt formatCode="General" sourceLinked="1"/>
        <c:majorTickMark val="out"/>
        <c:minorTickMark val="none"/>
        <c:tickLblPos val="nextTo"/>
        <c:crossAx val="403991312"/>
        <c:crosses val="autoZero"/>
        <c:crossBetween val="between"/>
      </c:valAx>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57"/>
          <c:dPt>
            <c:idx val="0"/>
            <c:bubble3D val="0"/>
            <c:explosion val="14"/>
          </c:dPt>
          <c:cat>
            <c:strRef>
              <c:f>'viti 2018'!$A$204:$A$211</c:f>
              <c:strCache>
                <c:ptCount val="8"/>
                <c:pt idx="0">
                  <c:v>Perfitime financiar deputete</c:v>
                </c:pt>
                <c:pt idx="1">
                  <c:v>shpenzime per pjesemarrje ne aktivitete jashte vendi</c:v>
                </c:pt>
                <c:pt idx="2">
                  <c:v>Shpenzime pritje percjellje</c:v>
                </c:pt>
                <c:pt idx="3">
                  <c:v>Shpenzime mirembajtje</c:v>
                </c:pt>
                <c:pt idx="4">
                  <c:v>Botime parlamentare</c:v>
                </c:pt>
                <c:pt idx="5">
                  <c:v>ekzekutim vendime gjyqesore</c:v>
                </c:pt>
                <c:pt idx="6">
                  <c:v>blerje materiale kancelarie e te tjera</c:v>
                </c:pt>
                <c:pt idx="7">
                  <c:v>shpenzime energji, uje dhe telefon</c:v>
                </c:pt>
              </c:strCache>
            </c:strRef>
          </c:cat>
          <c:val>
            <c:numRef>
              <c:f>'viti 2018'!$B$204:$B$211</c:f>
              <c:numCache>
                <c:formatCode>0%</c:formatCode>
                <c:ptCount val="8"/>
                <c:pt idx="0">
                  <c:v>0.5298013245033113</c:v>
                </c:pt>
                <c:pt idx="1">
                  <c:v>0.15397350993377484</c:v>
                </c:pt>
                <c:pt idx="2">
                  <c:v>6.2913907284768214E-2</c:v>
                </c:pt>
                <c:pt idx="3">
                  <c:v>0.11920529801324503</c:v>
                </c:pt>
                <c:pt idx="4">
                  <c:v>2.6490066225165563E-2</c:v>
                </c:pt>
                <c:pt idx="5">
                  <c:v>4.1059602649006627E-2</c:v>
                </c:pt>
                <c:pt idx="6">
                  <c:v>2.9801324503311258E-2</c:v>
                </c:pt>
                <c:pt idx="7">
                  <c:v>3.9735099337748346E-2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0.00965</cdr:x>
      <cdr:y>0.02078</cdr:y>
    </cdr:from>
    <cdr:to>
      <cdr:x>0.28764</cdr:x>
      <cdr:y>0.16883</cdr:y>
    </cdr:to>
    <cdr:sp macro="" textlink="">
      <cdr:nvSpPr>
        <cdr:cNvPr id="2" name="TextBox 1"/>
        <cdr:cNvSpPr txBox="1"/>
      </cdr:nvSpPr>
      <cdr:spPr>
        <a:xfrm xmlns:a="http://schemas.openxmlformats.org/drawingml/2006/main">
          <a:off x="47625" y="76200"/>
          <a:ext cx="1371600" cy="5429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08BF8-AD19-449B-9365-9D7E78013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1676</Words>
  <Characters>9557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Vangjush Mile</dc:creator>
  <cp:lastModifiedBy>Ermira Kopliku</cp:lastModifiedBy>
  <cp:revision>2</cp:revision>
  <cp:lastPrinted>2018-01-17T13:25:00Z</cp:lastPrinted>
  <dcterms:created xsi:type="dcterms:W3CDTF">2019-04-15T09:41:00Z</dcterms:created>
  <dcterms:modified xsi:type="dcterms:W3CDTF">2019-04-15T09:41:00Z</dcterms:modified>
</cp:coreProperties>
</file>