
<file path=[Content_Types].xml><?xml version="1.0" encoding="utf-8"?>
<Types xmlns="http://schemas.openxmlformats.org/package/2006/content-types">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charts/chart10.xml" ContentType="application/vnd.openxmlformats-officedocument.drawingml.chart+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diagrams/drawing3.xml" ContentType="application/vnd.ms-office.drawingml.diagramDrawing+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charts/chart6.xml" ContentType="application/vnd.openxmlformats-officedocument.drawingml.chart+xml"/>
  <Override PartName="/word/diagrams/drawing2.xml" ContentType="application/vnd.ms-office.drawingml.diagramDrawing+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diagrams/layout3.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word/diagrams/layout2.xml" ContentType="application/vnd.openxmlformats-officedocument.drawingml.diagramLayout+xml"/>
  <Override PartName="/word/diagrams/quickStyle3.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DB6" w:rsidRPr="00D72DB6" w:rsidRDefault="00D72DB6" w:rsidP="00D72DB6">
      <w:pPr>
        <w:spacing w:line="360" w:lineRule="auto"/>
        <w:jc w:val="center"/>
        <w:rPr>
          <w:rFonts w:ascii="Times New Roman" w:hAnsi="Times New Roman"/>
          <w:b/>
          <w:color w:val="FF0000"/>
          <w:sz w:val="24"/>
          <w:szCs w:val="24"/>
        </w:rPr>
      </w:pPr>
      <w:r w:rsidRPr="00D72DB6">
        <w:rPr>
          <w:rFonts w:ascii="Times New Roman" w:hAnsi="Times New Roman"/>
          <w:noProof/>
          <w:sz w:val="24"/>
          <w:szCs w:val="24"/>
          <w:lang w:eastAsia="sq-AL"/>
        </w:rPr>
        <w:drawing>
          <wp:anchor distT="0" distB="0" distL="114300" distR="114300" simplePos="0" relativeHeight="251665408" behindDoc="0" locked="0" layoutInCell="1" allowOverlap="1">
            <wp:simplePos x="0" y="0"/>
            <wp:positionH relativeFrom="column">
              <wp:posOffset>-703580</wp:posOffset>
            </wp:positionH>
            <wp:positionV relativeFrom="paragraph">
              <wp:posOffset>-255905</wp:posOffset>
            </wp:positionV>
            <wp:extent cx="7157720" cy="9177020"/>
            <wp:effectExtent l="0" t="0" r="5080" b="5080"/>
            <wp:wrapNone/>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6412" t="12250" r="36170" b="4269"/>
                    <a:stretch/>
                  </pic:blipFill>
                  <pic:spPr bwMode="auto">
                    <a:xfrm>
                      <a:off x="0" y="0"/>
                      <a:ext cx="7157720" cy="9176385"/>
                    </a:xfrm>
                    <a:prstGeom prst="rect">
                      <a:avLst/>
                    </a:prstGeom>
                    <a:ln>
                      <a:noFill/>
                    </a:ln>
                    <a:effectLst>
                      <a:softEdge rad="112500"/>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D72DB6" w:rsidRPr="00D72DB6" w:rsidRDefault="00D72DB6" w:rsidP="00D72DB6">
      <w:pPr>
        <w:spacing w:line="360" w:lineRule="auto"/>
        <w:jc w:val="center"/>
        <w:rPr>
          <w:rFonts w:ascii="Times New Roman" w:hAnsi="Times New Roman"/>
          <w:b/>
          <w:color w:val="FF0000"/>
          <w:sz w:val="24"/>
          <w:szCs w:val="24"/>
        </w:rPr>
      </w:pPr>
    </w:p>
    <w:p w:rsidR="00D72DB6" w:rsidRPr="00D72DB6" w:rsidRDefault="00D72DB6" w:rsidP="00D72DB6">
      <w:pPr>
        <w:spacing w:line="360" w:lineRule="auto"/>
        <w:jc w:val="center"/>
        <w:rPr>
          <w:rFonts w:ascii="Times New Roman" w:hAnsi="Times New Roman"/>
          <w:noProof/>
          <w:sz w:val="24"/>
          <w:szCs w:val="24"/>
          <w:lang w:eastAsia="sq-AL"/>
        </w:rPr>
      </w:pPr>
    </w:p>
    <w:p w:rsidR="00D72DB6" w:rsidRPr="00D72DB6" w:rsidRDefault="00D72DB6" w:rsidP="00D72DB6">
      <w:pPr>
        <w:spacing w:line="360" w:lineRule="auto"/>
        <w:jc w:val="center"/>
        <w:rPr>
          <w:rFonts w:ascii="Times New Roman" w:hAnsi="Times New Roman"/>
          <w:color w:val="FF0000"/>
          <w:sz w:val="24"/>
          <w:szCs w:val="24"/>
        </w:rPr>
      </w:pPr>
    </w:p>
    <w:p w:rsidR="00D72DB6" w:rsidRPr="00D72DB6" w:rsidRDefault="00D72DB6" w:rsidP="00D72DB6">
      <w:pPr>
        <w:spacing w:line="360" w:lineRule="auto"/>
        <w:jc w:val="center"/>
        <w:rPr>
          <w:rFonts w:ascii="Times New Roman" w:hAnsi="Times New Roman"/>
          <w:b/>
          <w:color w:val="FF0000"/>
          <w:sz w:val="24"/>
          <w:szCs w:val="24"/>
        </w:rPr>
      </w:pPr>
      <w:bookmarkStart w:id="0" w:name="_GoBack"/>
      <w:bookmarkEnd w:id="0"/>
    </w:p>
    <w:p w:rsidR="00D72DB6" w:rsidRPr="00D72DB6" w:rsidRDefault="00D72DB6" w:rsidP="00D72DB6">
      <w:pPr>
        <w:spacing w:line="360" w:lineRule="auto"/>
        <w:jc w:val="center"/>
        <w:rPr>
          <w:rFonts w:ascii="Times New Roman" w:hAnsi="Times New Roman"/>
          <w:b/>
          <w:color w:val="FF0000"/>
          <w:sz w:val="24"/>
          <w:szCs w:val="24"/>
        </w:rPr>
      </w:pPr>
    </w:p>
    <w:p w:rsidR="00D72DB6" w:rsidRPr="00D72DB6" w:rsidRDefault="00D72DB6" w:rsidP="00D72DB6">
      <w:pPr>
        <w:spacing w:line="360" w:lineRule="auto"/>
        <w:jc w:val="center"/>
        <w:rPr>
          <w:rFonts w:ascii="Times New Roman" w:hAnsi="Times New Roman"/>
          <w:b/>
          <w:color w:val="FF0000"/>
          <w:sz w:val="24"/>
          <w:szCs w:val="24"/>
        </w:rPr>
      </w:pPr>
    </w:p>
    <w:p w:rsidR="00D72DB6" w:rsidRPr="00D72DB6" w:rsidRDefault="00D72DB6" w:rsidP="00D72DB6">
      <w:pPr>
        <w:spacing w:line="360" w:lineRule="auto"/>
        <w:jc w:val="center"/>
        <w:rPr>
          <w:rFonts w:ascii="Times New Roman" w:hAnsi="Times New Roman"/>
          <w:b/>
          <w:sz w:val="24"/>
          <w:szCs w:val="24"/>
        </w:rPr>
      </w:pPr>
    </w:p>
    <w:p w:rsidR="00D72DB6" w:rsidRPr="00D72DB6" w:rsidRDefault="00D72DB6" w:rsidP="00D72DB6">
      <w:pPr>
        <w:spacing w:line="360" w:lineRule="auto"/>
        <w:rPr>
          <w:rFonts w:ascii="Times New Roman" w:hAnsi="Times New Roman"/>
          <w:sz w:val="24"/>
          <w:szCs w:val="24"/>
        </w:rPr>
      </w:pPr>
    </w:p>
    <w:p w:rsidR="00D72DB6" w:rsidRPr="00D72DB6" w:rsidRDefault="00D72DB6" w:rsidP="00D72DB6">
      <w:pPr>
        <w:spacing w:line="360" w:lineRule="auto"/>
        <w:rPr>
          <w:rFonts w:ascii="Times New Roman" w:hAnsi="Times New Roman"/>
          <w:sz w:val="24"/>
          <w:szCs w:val="24"/>
        </w:rPr>
      </w:pPr>
    </w:p>
    <w:p w:rsidR="00D72DB6" w:rsidRPr="00D72DB6" w:rsidRDefault="00D72DB6" w:rsidP="00D72DB6">
      <w:pPr>
        <w:spacing w:line="360" w:lineRule="auto"/>
        <w:rPr>
          <w:rFonts w:ascii="Times New Roman" w:hAnsi="Times New Roman"/>
          <w:sz w:val="24"/>
          <w:szCs w:val="24"/>
        </w:rPr>
      </w:pPr>
    </w:p>
    <w:p w:rsidR="00D72DB6" w:rsidRPr="00D72DB6" w:rsidRDefault="00D72DB6" w:rsidP="00D72DB6">
      <w:pPr>
        <w:spacing w:line="360" w:lineRule="auto"/>
        <w:rPr>
          <w:rFonts w:ascii="Times New Roman" w:hAnsi="Times New Roman"/>
          <w:sz w:val="24"/>
          <w:szCs w:val="24"/>
        </w:rPr>
      </w:pPr>
    </w:p>
    <w:p w:rsidR="00D72DB6" w:rsidRPr="00D72DB6" w:rsidRDefault="00D72DB6" w:rsidP="00D72DB6">
      <w:pPr>
        <w:spacing w:line="360" w:lineRule="auto"/>
        <w:rPr>
          <w:rFonts w:ascii="Times New Roman" w:hAnsi="Times New Roman"/>
          <w:sz w:val="24"/>
          <w:szCs w:val="24"/>
        </w:rPr>
      </w:pPr>
    </w:p>
    <w:p w:rsidR="00D72DB6" w:rsidRPr="00D72DB6" w:rsidRDefault="00D72DB6" w:rsidP="00D72DB6">
      <w:pPr>
        <w:spacing w:line="360" w:lineRule="auto"/>
        <w:rPr>
          <w:rFonts w:ascii="Times New Roman" w:hAnsi="Times New Roman"/>
          <w:sz w:val="24"/>
          <w:szCs w:val="24"/>
        </w:rPr>
      </w:pPr>
    </w:p>
    <w:p w:rsidR="00D72DB6" w:rsidRPr="00D72DB6" w:rsidRDefault="00D72DB6" w:rsidP="00D72DB6">
      <w:pPr>
        <w:spacing w:line="360" w:lineRule="auto"/>
        <w:rPr>
          <w:rFonts w:ascii="Times New Roman" w:hAnsi="Times New Roman"/>
          <w:sz w:val="24"/>
          <w:szCs w:val="24"/>
        </w:rPr>
      </w:pPr>
    </w:p>
    <w:p w:rsidR="00D72DB6" w:rsidRPr="00D72DB6" w:rsidRDefault="00D72DB6" w:rsidP="00D72DB6">
      <w:pPr>
        <w:spacing w:line="360" w:lineRule="auto"/>
        <w:rPr>
          <w:rFonts w:ascii="Times New Roman" w:hAnsi="Times New Roman"/>
          <w:sz w:val="24"/>
          <w:szCs w:val="24"/>
        </w:rPr>
      </w:pPr>
    </w:p>
    <w:p w:rsidR="00D72DB6" w:rsidRPr="00D72DB6" w:rsidRDefault="00D72DB6" w:rsidP="00D72DB6">
      <w:pPr>
        <w:spacing w:line="360" w:lineRule="auto"/>
        <w:rPr>
          <w:rFonts w:ascii="Times New Roman" w:hAnsi="Times New Roman"/>
          <w:sz w:val="24"/>
          <w:szCs w:val="24"/>
        </w:rPr>
      </w:pPr>
    </w:p>
    <w:p w:rsidR="00D72DB6" w:rsidRPr="00D72DB6" w:rsidRDefault="00D72DB6" w:rsidP="00D72DB6">
      <w:pPr>
        <w:spacing w:line="360" w:lineRule="auto"/>
        <w:rPr>
          <w:rFonts w:ascii="Times New Roman" w:hAnsi="Times New Roman"/>
          <w:sz w:val="24"/>
          <w:szCs w:val="24"/>
        </w:rPr>
      </w:pPr>
    </w:p>
    <w:p w:rsidR="00D72DB6" w:rsidRPr="00D72DB6" w:rsidRDefault="00D72DB6" w:rsidP="00D72DB6">
      <w:pPr>
        <w:spacing w:line="360" w:lineRule="auto"/>
        <w:rPr>
          <w:rFonts w:ascii="Times New Roman" w:hAnsi="Times New Roman"/>
          <w:sz w:val="24"/>
          <w:szCs w:val="24"/>
        </w:rPr>
      </w:pPr>
    </w:p>
    <w:p w:rsidR="00D72DB6" w:rsidRPr="00D72DB6" w:rsidRDefault="00D72DB6" w:rsidP="00D72DB6">
      <w:pPr>
        <w:spacing w:line="360" w:lineRule="auto"/>
        <w:rPr>
          <w:rFonts w:ascii="Times New Roman" w:hAnsi="Times New Roman"/>
          <w:sz w:val="24"/>
          <w:szCs w:val="24"/>
        </w:rPr>
      </w:pPr>
    </w:p>
    <w:p w:rsidR="00D72DB6" w:rsidRPr="00D72DB6" w:rsidRDefault="00D72DB6" w:rsidP="00D72DB6">
      <w:pPr>
        <w:spacing w:line="360" w:lineRule="auto"/>
        <w:rPr>
          <w:rFonts w:ascii="Times New Roman" w:hAnsi="Times New Roman"/>
          <w:sz w:val="24"/>
          <w:szCs w:val="24"/>
        </w:rPr>
      </w:pPr>
    </w:p>
    <w:p w:rsidR="00D72DB6" w:rsidRPr="00D72DB6" w:rsidRDefault="00D72DB6" w:rsidP="00D72DB6">
      <w:pPr>
        <w:spacing w:line="360" w:lineRule="auto"/>
        <w:rPr>
          <w:rFonts w:ascii="Times New Roman" w:hAnsi="Times New Roman"/>
          <w:sz w:val="24"/>
          <w:szCs w:val="24"/>
        </w:rPr>
      </w:pPr>
    </w:p>
    <w:p w:rsidR="00D72DB6" w:rsidRPr="00D72DB6" w:rsidRDefault="00D72DB6" w:rsidP="00D72DB6">
      <w:pPr>
        <w:spacing w:line="360" w:lineRule="auto"/>
        <w:rPr>
          <w:rFonts w:ascii="Times New Roman" w:hAnsi="Times New Roman"/>
          <w:sz w:val="24"/>
          <w:szCs w:val="24"/>
        </w:rPr>
      </w:pPr>
    </w:p>
    <w:p w:rsidR="00D72DB6" w:rsidRPr="00D72DB6" w:rsidRDefault="00D72DB6" w:rsidP="00D72DB6">
      <w:pPr>
        <w:spacing w:line="360" w:lineRule="auto"/>
        <w:rPr>
          <w:rFonts w:ascii="Times New Roman" w:hAnsi="Times New Roman"/>
          <w:sz w:val="24"/>
          <w:szCs w:val="24"/>
        </w:rPr>
      </w:pPr>
    </w:p>
    <w:p w:rsidR="00D72DB6" w:rsidRPr="00D72DB6" w:rsidRDefault="00D72DB6" w:rsidP="00D72DB6">
      <w:pPr>
        <w:spacing w:line="360" w:lineRule="auto"/>
        <w:rPr>
          <w:rFonts w:ascii="Times New Roman" w:hAnsi="Times New Roman"/>
          <w:sz w:val="24"/>
          <w:szCs w:val="24"/>
        </w:rPr>
      </w:pPr>
    </w:p>
    <w:sdt>
      <w:sdtPr>
        <w:rPr>
          <w:rFonts w:ascii="Times New Roman" w:eastAsia="Calibri" w:hAnsi="Times New Roman" w:cs="Times New Roman"/>
          <w:color w:val="auto"/>
          <w:sz w:val="24"/>
          <w:szCs w:val="24"/>
          <w:lang w:val="sq-AL"/>
        </w:rPr>
        <w:id w:val="693512220"/>
        <w:docPartObj>
          <w:docPartGallery w:val="Table of Contents"/>
          <w:docPartUnique/>
        </w:docPartObj>
      </w:sdtPr>
      <w:sdtContent>
        <w:p w:rsidR="00D72DB6" w:rsidRPr="00D72DB6" w:rsidRDefault="00D72DB6" w:rsidP="00D72DB6">
          <w:pPr>
            <w:pStyle w:val="TOCHeading"/>
            <w:spacing w:before="0" w:line="276" w:lineRule="auto"/>
            <w:rPr>
              <w:rFonts w:ascii="Times New Roman" w:hAnsi="Times New Roman" w:cs="Times New Roman"/>
              <w:b/>
              <w:sz w:val="24"/>
              <w:szCs w:val="24"/>
              <w:lang w:val="sq-AL"/>
            </w:rPr>
          </w:pPr>
          <w:r w:rsidRPr="00D72DB6">
            <w:rPr>
              <w:rFonts w:ascii="Times New Roman" w:hAnsi="Times New Roman" w:cs="Times New Roman"/>
              <w:b/>
              <w:sz w:val="24"/>
              <w:szCs w:val="24"/>
              <w:lang w:val="sq-AL"/>
            </w:rPr>
            <w:t>PËRMBAJTJA</w:t>
          </w:r>
        </w:p>
        <w:p w:rsidR="00D72DB6" w:rsidRPr="00D72DB6" w:rsidRDefault="003C6EA5" w:rsidP="00D72DB6">
          <w:pPr>
            <w:pStyle w:val="TOC1"/>
            <w:rPr>
              <w:rFonts w:ascii="Times New Roman" w:eastAsiaTheme="minorEastAsia" w:hAnsi="Times New Roman"/>
              <w:noProof/>
              <w:sz w:val="24"/>
              <w:szCs w:val="24"/>
              <w:lang w:val="en-US"/>
            </w:rPr>
          </w:pPr>
          <w:r w:rsidRPr="003C6EA5">
            <w:rPr>
              <w:rFonts w:ascii="Times New Roman" w:hAnsi="Times New Roman"/>
              <w:sz w:val="24"/>
              <w:szCs w:val="24"/>
            </w:rPr>
            <w:fldChar w:fldCharType="begin"/>
          </w:r>
          <w:r w:rsidR="00D72DB6" w:rsidRPr="00D72DB6">
            <w:rPr>
              <w:rFonts w:ascii="Times New Roman" w:hAnsi="Times New Roman"/>
              <w:sz w:val="24"/>
              <w:szCs w:val="24"/>
            </w:rPr>
            <w:instrText xml:space="preserve"> TOC \o "1-3" \h \z \u </w:instrText>
          </w:r>
          <w:r w:rsidRPr="003C6EA5">
            <w:rPr>
              <w:rFonts w:ascii="Times New Roman" w:hAnsi="Times New Roman"/>
              <w:sz w:val="24"/>
              <w:szCs w:val="24"/>
            </w:rPr>
            <w:fldChar w:fldCharType="separate"/>
          </w:r>
          <w:hyperlink r:id="rId6" w:anchor="_Toc507424875" w:history="1">
            <w:r w:rsidR="00D72DB6" w:rsidRPr="00D72DB6">
              <w:rPr>
                <w:rStyle w:val="Hyperlink"/>
                <w:rFonts w:ascii="Times New Roman" w:hAnsi="Times New Roman"/>
                <w:b/>
                <w:noProof/>
                <w:sz w:val="24"/>
                <w:szCs w:val="24"/>
              </w:rPr>
              <w:t>1. VËSHTRIM MBI VITIN 2017</w:t>
            </w:r>
            <w:r w:rsidR="00D72DB6" w:rsidRPr="00D72DB6">
              <w:rPr>
                <w:rStyle w:val="Hyperlink"/>
                <w:rFonts w:ascii="Times New Roman" w:hAnsi="Times New Roman"/>
                <w:noProof/>
                <w:webHidden/>
                <w:color w:val="auto"/>
                <w:sz w:val="24"/>
                <w:szCs w:val="24"/>
              </w:rPr>
              <w:tab/>
            </w:r>
            <w:r w:rsidRPr="00D72DB6">
              <w:rPr>
                <w:rStyle w:val="Hyperlink"/>
                <w:rFonts w:ascii="Times New Roman" w:hAnsi="Times New Roman"/>
                <w:noProof/>
                <w:webHidden/>
                <w:color w:val="auto"/>
                <w:sz w:val="24"/>
                <w:szCs w:val="24"/>
              </w:rPr>
              <w:fldChar w:fldCharType="begin"/>
            </w:r>
            <w:r w:rsidR="00D72DB6" w:rsidRPr="00D72DB6">
              <w:rPr>
                <w:rStyle w:val="Hyperlink"/>
                <w:rFonts w:ascii="Times New Roman" w:hAnsi="Times New Roman"/>
                <w:noProof/>
                <w:webHidden/>
                <w:color w:val="auto"/>
                <w:sz w:val="24"/>
                <w:szCs w:val="24"/>
              </w:rPr>
              <w:instrText xml:space="preserve"> PAGEREF _Toc507424875 \h </w:instrText>
            </w:r>
            <w:r w:rsidRPr="00D72DB6">
              <w:rPr>
                <w:rStyle w:val="Hyperlink"/>
                <w:rFonts w:ascii="Times New Roman" w:hAnsi="Times New Roman"/>
                <w:noProof/>
                <w:webHidden/>
                <w:color w:val="auto"/>
                <w:sz w:val="24"/>
                <w:szCs w:val="24"/>
              </w:rPr>
            </w:r>
            <w:r w:rsidRPr="00D72DB6">
              <w:rPr>
                <w:rStyle w:val="Hyperlink"/>
                <w:rFonts w:ascii="Times New Roman" w:hAnsi="Times New Roman"/>
                <w:noProof/>
                <w:webHidden/>
                <w:color w:val="auto"/>
                <w:sz w:val="24"/>
                <w:szCs w:val="24"/>
              </w:rPr>
              <w:fldChar w:fldCharType="separate"/>
            </w:r>
            <w:r w:rsidR="00D72DB6" w:rsidRPr="00D72DB6">
              <w:rPr>
                <w:rStyle w:val="Hyperlink"/>
                <w:rFonts w:ascii="Times New Roman" w:hAnsi="Times New Roman"/>
                <w:noProof/>
                <w:webHidden/>
                <w:color w:val="auto"/>
                <w:sz w:val="24"/>
                <w:szCs w:val="24"/>
              </w:rPr>
              <w:t>4</w:t>
            </w:r>
            <w:r w:rsidRPr="00D72DB6">
              <w:rPr>
                <w:rStyle w:val="Hyperlink"/>
                <w:rFonts w:ascii="Times New Roman" w:hAnsi="Times New Roman"/>
                <w:noProof/>
                <w:webHidden/>
                <w:color w:val="auto"/>
                <w:sz w:val="24"/>
                <w:szCs w:val="24"/>
              </w:rPr>
              <w:fldChar w:fldCharType="end"/>
            </w:r>
          </w:hyperlink>
        </w:p>
        <w:p w:rsidR="00D72DB6" w:rsidRPr="00D72DB6" w:rsidRDefault="003C6EA5" w:rsidP="00D72DB6">
          <w:pPr>
            <w:pStyle w:val="TOC1"/>
            <w:rPr>
              <w:rFonts w:ascii="Times New Roman" w:eastAsiaTheme="minorEastAsia" w:hAnsi="Times New Roman"/>
              <w:noProof/>
              <w:sz w:val="24"/>
              <w:szCs w:val="24"/>
              <w:lang w:val="en-US"/>
            </w:rPr>
          </w:pPr>
          <w:hyperlink r:id="rId7" w:anchor="_Toc507424876" w:history="1">
            <w:r w:rsidR="00D72DB6" w:rsidRPr="00D72DB6">
              <w:rPr>
                <w:rStyle w:val="Hyperlink"/>
                <w:rFonts w:ascii="Times New Roman" w:hAnsi="Times New Roman"/>
                <w:b/>
                <w:noProof/>
                <w:sz w:val="24"/>
                <w:szCs w:val="24"/>
              </w:rPr>
              <w:t>2. E DREJTA E INFORMIMIT</w:t>
            </w:r>
            <w:r w:rsidR="00D72DB6" w:rsidRPr="00D72DB6">
              <w:rPr>
                <w:rStyle w:val="Hyperlink"/>
                <w:rFonts w:ascii="Times New Roman" w:hAnsi="Times New Roman"/>
                <w:noProof/>
                <w:webHidden/>
                <w:color w:val="auto"/>
                <w:sz w:val="24"/>
                <w:szCs w:val="24"/>
              </w:rPr>
              <w:tab/>
            </w:r>
            <w:r w:rsidRPr="00D72DB6">
              <w:rPr>
                <w:rStyle w:val="Hyperlink"/>
                <w:rFonts w:ascii="Times New Roman" w:hAnsi="Times New Roman"/>
                <w:noProof/>
                <w:webHidden/>
                <w:color w:val="auto"/>
                <w:sz w:val="24"/>
                <w:szCs w:val="24"/>
              </w:rPr>
              <w:fldChar w:fldCharType="begin"/>
            </w:r>
            <w:r w:rsidR="00D72DB6" w:rsidRPr="00D72DB6">
              <w:rPr>
                <w:rStyle w:val="Hyperlink"/>
                <w:rFonts w:ascii="Times New Roman" w:hAnsi="Times New Roman"/>
                <w:noProof/>
                <w:webHidden/>
                <w:color w:val="auto"/>
                <w:sz w:val="24"/>
                <w:szCs w:val="24"/>
              </w:rPr>
              <w:instrText xml:space="preserve"> PAGEREF _Toc507424876 \h </w:instrText>
            </w:r>
            <w:r w:rsidRPr="00D72DB6">
              <w:rPr>
                <w:rStyle w:val="Hyperlink"/>
                <w:rFonts w:ascii="Times New Roman" w:hAnsi="Times New Roman"/>
                <w:noProof/>
                <w:webHidden/>
                <w:color w:val="auto"/>
                <w:sz w:val="24"/>
                <w:szCs w:val="24"/>
              </w:rPr>
            </w:r>
            <w:r w:rsidRPr="00D72DB6">
              <w:rPr>
                <w:rStyle w:val="Hyperlink"/>
                <w:rFonts w:ascii="Times New Roman" w:hAnsi="Times New Roman"/>
                <w:noProof/>
                <w:webHidden/>
                <w:color w:val="auto"/>
                <w:sz w:val="24"/>
                <w:szCs w:val="24"/>
              </w:rPr>
              <w:fldChar w:fldCharType="separate"/>
            </w:r>
            <w:r w:rsidR="00D72DB6" w:rsidRPr="00D72DB6">
              <w:rPr>
                <w:rStyle w:val="Hyperlink"/>
                <w:rFonts w:ascii="Times New Roman" w:hAnsi="Times New Roman"/>
                <w:noProof/>
                <w:webHidden/>
                <w:color w:val="auto"/>
                <w:sz w:val="24"/>
                <w:szCs w:val="24"/>
              </w:rPr>
              <w:t>5</w:t>
            </w:r>
            <w:r w:rsidRPr="00D72DB6">
              <w:rPr>
                <w:rStyle w:val="Hyperlink"/>
                <w:rFonts w:ascii="Times New Roman" w:hAnsi="Times New Roman"/>
                <w:noProof/>
                <w:webHidden/>
                <w:color w:val="auto"/>
                <w:sz w:val="24"/>
                <w:szCs w:val="24"/>
              </w:rPr>
              <w:fldChar w:fldCharType="end"/>
            </w:r>
          </w:hyperlink>
        </w:p>
        <w:p w:rsidR="00D72DB6" w:rsidRPr="00D72DB6" w:rsidRDefault="003C6EA5" w:rsidP="00D72DB6">
          <w:pPr>
            <w:pStyle w:val="TOC2"/>
            <w:rPr>
              <w:rFonts w:ascii="Times New Roman" w:eastAsiaTheme="minorEastAsia" w:hAnsi="Times New Roman"/>
              <w:noProof/>
              <w:sz w:val="24"/>
              <w:szCs w:val="24"/>
              <w:lang w:val="en-US"/>
            </w:rPr>
          </w:pPr>
          <w:hyperlink r:id="rId8" w:anchor="_Toc507424877" w:history="1">
            <w:r w:rsidR="00D72DB6" w:rsidRPr="00D72DB6">
              <w:rPr>
                <w:rStyle w:val="Hyperlink"/>
                <w:rFonts w:ascii="Times New Roman" w:hAnsi="Times New Roman"/>
                <w:noProof/>
                <w:sz w:val="24"/>
                <w:szCs w:val="24"/>
              </w:rPr>
              <w:t>2.1 Monitorimi dhe mbikëqyrja e ligjit nr. 119/2014 “Për të drejtën e informimit”</w:t>
            </w:r>
            <w:r w:rsidR="00D72DB6" w:rsidRPr="00D72DB6">
              <w:rPr>
                <w:rStyle w:val="Hyperlink"/>
                <w:rFonts w:ascii="Times New Roman" w:hAnsi="Times New Roman"/>
                <w:noProof/>
                <w:webHidden/>
                <w:color w:val="auto"/>
                <w:sz w:val="24"/>
                <w:szCs w:val="24"/>
              </w:rPr>
              <w:tab/>
            </w:r>
            <w:r w:rsidRPr="00D72DB6">
              <w:rPr>
                <w:rStyle w:val="Hyperlink"/>
                <w:rFonts w:ascii="Times New Roman" w:hAnsi="Times New Roman"/>
                <w:noProof/>
                <w:webHidden/>
                <w:color w:val="auto"/>
                <w:sz w:val="24"/>
                <w:szCs w:val="24"/>
              </w:rPr>
              <w:fldChar w:fldCharType="begin"/>
            </w:r>
            <w:r w:rsidR="00D72DB6" w:rsidRPr="00D72DB6">
              <w:rPr>
                <w:rStyle w:val="Hyperlink"/>
                <w:rFonts w:ascii="Times New Roman" w:hAnsi="Times New Roman"/>
                <w:noProof/>
                <w:webHidden/>
                <w:color w:val="auto"/>
                <w:sz w:val="24"/>
                <w:szCs w:val="24"/>
              </w:rPr>
              <w:instrText xml:space="preserve"> PAGEREF _Toc507424877 \h </w:instrText>
            </w:r>
            <w:r w:rsidRPr="00D72DB6">
              <w:rPr>
                <w:rStyle w:val="Hyperlink"/>
                <w:rFonts w:ascii="Times New Roman" w:hAnsi="Times New Roman"/>
                <w:noProof/>
                <w:webHidden/>
                <w:color w:val="auto"/>
                <w:sz w:val="24"/>
                <w:szCs w:val="24"/>
              </w:rPr>
            </w:r>
            <w:r w:rsidRPr="00D72DB6">
              <w:rPr>
                <w:rStyle w:val="Hyperlink"/>
                <w:rFonts w:ascii="Times New Roman" w:hAnsi="Times New Roman"/>
                <w:noProof/>
                <w:webHidden/>
                <w:color w:val="auto"/>
                <w:sz w:val="24"/>
                <w:szCs w:val="24"/>
              </w:rPr>
              <w:fldChar w:fldCharType="separate"/>
            </w:r>
            <w:r w:rsidR="00D72DB6" w:rsidRPr="00D72DB6">
              <w:rPr>
                <w:rStyle w:val="Hyperlink"/>
                <w:rFonts w:ascii="Times New Roman" w:hAnsi="Times New Roman"/>
                <w:noProof/>
                <w:webHidden/>
                <w:color w:val="auto"/>
                <w:sz w:val="24"/>
                <w:szCs w:val="24"/>
              </w:rPr>
              <w:t>5</w:t>
            </w:r>
            <w:r w:rsidRPr="00D72DB6">
              <w:rPr>
                <w:rStyle w:val="Hyperlink"/>
                <w:rFonts w:ascii="Times New Roman" w:hAnsi="Times New Roman"/>
                <w:noProof/>
                <w:webHidden/>
                <w:color w:val="auto"/>
                <w:sz w:val="24"/>
                <w:szCs w:val="24"/>
              </w:rPr>
              <w:fldChar w:fldCharType="end"/>
            </w:r>
          </w:hyperlink>
        </w:p>
        <w:p w:rsidR="00D72DB6" w:rsidRPr="00D72DB6" w:rsidRDefault="003C6EA5" w:rsidP="00D72DB6">
          <w:pPr>
            <w:pStyle w:val="TOC2"/>
            <w:rPr>
              <w:rFonts w:ascii="Times New Roman" w:eastAsiaTheme="minorEastAsia" w:hAnsi="Times New Roman"/>
              <w:noProof/>
              <w:sz w:val="24"/>
              <w:szCs w:val="24"/>
              <w:lang w:val="en-US"/>
            </w:rPr>
          </w:pPr>
          <w:hyperlink r:id="rId9" w:anchor="_Toc507424878" w:history="1">
            <w:r w:rsidR="00D72DB6" w:rsidRPr="00D72DB6">
              <w:rPr>
                <w:rStyle w:val="Hyperlink"/>
                <w:rFonts w:ascii="Times New Roman" w:hAnsi="Times New Roman"/>
                <w:noProof/>
                <w:sz w:val="24"/>
                <w:szCs w:val="24"/>
              </w:rPr>
              <w:t>2.2 Trajtimi i ankesave</w:t>
            </w:r>
            <w:r w:rsidR="00D72DB6" w:rsidRPr="00D72DB6">
              <w:rPr>
                <w:rStyle w:val="Hyperlink"/>
                <w:rFonts w:ascii="Times New Roman" w:hAnsi="Times New Roman"/>
                <w:noProof/>
                <w:webHidden/>
                <w:color w:val="auto"/>
                <w:sz w:val="24"/>
                <w:szCs w:val="24"/>
              </w:rPr>
              <w:tab/>
            </w:r>
            <w:r w:rsidRPr="00D72DB6">
              <w:rPr>
                <w:rStyle w:val="Hyperlink"/>
                <w:rFonts w:ascii="Times New Roman" w:hAnsi="Times New Roman"/>
                <w:noProof/>
                <w:webHidden/>
                <w:color w:val="auto"/>
                <w:sz w:val="24"/>
                <w:szCs w:val="24"/>
              </w:rPr>
              <w:fldChar w:fldCharType="begin"/>
            </w:r>
            <w:r w:rsidR="00D72DB6" w:rsidRPr="00D72DB6">
              <w:rPr>
                <w:rStyle w:val="Hyperlink"/>
                <w:rFonts w:ascii="Times New Roman" w:hAnsi="Times New Roman"/>
                <w:noProof/>
                <w:webHidden/>
                <w:color w:val="auto"/>
                <w:sz w:val="24"/>
                <w:szCs w:val="24"/>
              </w:rPr>
              <w:instrText xml:space="preserve"> PAGEREF _Toc507424878 \h </w:instrText>
            </w:r>
            <w:r w:rsidRPr="00D72DB6">
              <w:rPr>
                <w:rStyle w:val="Hyperlink"/>
                <w:rFonts w:ascii="Times New Roman" w:hAnsi="Times New Roman"/>
                <w:noProof/>
                <w:webHidden/>
                <w:color w:val="auto"/>
                <w:sz w:val="24"/>
                <w:szCs w:val="24"/>
              </w:rPr>
            </w:r>
            <w:r w:rsidRPr="00D72DB6">
              <w:rPr>
                <w:rStyle w:val="Hyperlink"/>
                <w:rFonts w:ascii="Times New Roman" w:hAnsi="Times New Roman"/>
                <w:noProof/>
                <w:webHidden/>
                <w:color w:val="auto"/>
                <w:sz w:val="24"/>
                <w:szCs w:val="24"/>
              </w:rPr>
              <w:fldChar w:fldCharType="separate"/>
            </w:r>
            <w:r w:rsidR="00D72DB6" w:rsidRPr="00D72DB6">
              <w:rPr>
                <w:rStyle w:val="Hyperlink"/>
                <w:rFonts w:ascii="Times New Roman" w:hAnsi="Times New Roman"/>
                <w:noProof/>
                <w:webHidden/>
                <w:color w:val="auto"/>
                <w:sz w:val="24"/>
                <w:szCs w:val="24"/>
              </w:rPr>
              <w:t>8</w:t>
            </w:r>
            <w:r w:rsidRPr="00D72DB6">
              <w:rPr>
                <w:rStyle w:val="Hyperlink"/>
                <w:rFonts w:ascii="Times New Roman" w:hAnsi="Times New Roman"/>
                <w:noProof/>
                <w:webHidden/>
                <w:color w:val="auto"/>
                <w:sz w:val="24"/>
                <w:szCs w:val="24"/>
              </w:rPr>
              <w:fldChar w:fldCharType="end"/>
            </w:r>
          </w:hyperlink>
        </w:p>
        <w:p w:rsidR="00D72DB6" w:rsidRPr="00D72DB6" w:rsidRDefault="003C6EA5" w:rsidP="00D72DB6">
          <w:pPr>
            <w:pStyle w:val="TOC2"/>
            <w:rPr>
              <w:rFonts w:ascii="Times New Roman" w:eastAsiaTheme="minorEastAsia" w:hAnsi="Times New Roman"/>
              <w:noProof/>
              <w:sz w:val="24"/>
              <w:szCs w:val="24"/>
              <w:lang w:val="en-US"/>
            </w:rPr>
          </w:pPr>
          <w:hyperlink r:id="rId10" w:anchor="_Toc507424879" w:history="1">
            <w:r w:rsidR="00D72DB6" w:rsidRPr="00D72DB6">
              <w:rPr>
                <w:rStyle w:val="Hyperlink"/>
                <w:rFonts w:ascii="Times New Roman" w:hAnsi="Times New Roman"/>
                <w:noProof/>
                <w:sz w:val="24"/>
                <w:szCs w:val="24"/>
              </w:rPr>
              <w:t>2.3 Hetime administrative</w:t>
            </w:r>
            <w:r w:rsidR="00D72DB6" w:rsidRPr="00D72DB6">
              <w:rPr>
                <w:rStyle w:val="Hyperlink"/>
                <w:rFonts w:ascii="Times New Roman" w:hAnsi="Times New Roman"/>
                <w:noProof/>
                <w:webHidden/>
                <w:color w:val="auto"/>
                <w:sz w:val="24"/>
                <w:szCs w:val="24"/>
              </w:rPr>
              <w:tab/>
            </w:r>
            <w:r w:rsidRPr="00D72DB6">
              <w:rPr>
                <w:rStyle w:val="Hyperlink"/>
                <w:rFonts w:ascii="Times New Roman" w:hAnsi="Times New Roman"/>
                <w:noProof/>
                <w:webHidden/>
                <w:color w:val="auto"/>
                <w:sz w:val="24"/>
                <w:szCs w:val="24"/>
              </w:rPr>
              <w:fldChar w:fldCharType="begin"/>
            </w:r>
            <w:r w:rsidR="00D72DB6" w:rsidRPr="00D72DB6">
              <w:rPr>
                <w:rStyle w:val="Hyperlink"/>
                <w:rFonts w:ascii="Times New Roman" w:hAnsi="Times New Roman"/>
                <w:noProof/>
                <w:webHidden/>
                <w:color w:val="auto"/>
                <w:sz w:val="24"/>
                <w:szCs w:val="24"/>
              </w:rPr>
              <w:instrText xml:space="preserve"> PAGEREF _Toc507424879 \h </w:instrText>
            </w:r>
            <w:r w:rsidRPr="00D72DB6">
              <w:rPr>
                <w:rStyle w:val="Hyperlink"/>
                <w:rFonts w:ascii="Times New Roman" w:hAnsi="Times New Roman"/>
                <w:noProof/>
                <w:webHidden/>
                <w:color w:val="auto"/>
                <w:sz w:val="24"/>
                <w:szCs w:val="24"/>
              </w:rPr>
            </w:r>
            <w:r w:rsidRPr="00D72DB6">
              <w:rPr>
                <w:rStyle w:val="Hyperlink"/>
                <w:rFonts w:ascii="Times New Roman" w:hAnsi="Times New Roman"/>
                <w:noProof/>
                <w:webHidden/>
                <w:color w:val="auto"/>
                <w:sz w:val="24"/>
                <w:szCs w:val="24"/>
              </w:rPr>
              <w:fldChar w:fldCharType="separate"/>
            </w:r>
            <w:r w:rsidR="00D72DB6" w:rsidRPr="00D72DB6">
              <w:rPr>
                <w:rStyle w:val="Hyperlink"/>
                <w:rFonts w:ascii="Times New Roman" w:hAnsi="Times New Roman"/>
                <w:noProof/>
                <w:webHidden/>
                <w:color w:val="auto"/>
                <w:sz w:val="24"/>
                <w:szCs w:val="24"/>
              </w:rPr>
              <w:t>9</w:t>
            </w:r>
            <w:r w:rsidRPr="00D72DB6">
              <w:rPr>
                <w:rStyle w:val="Hyperlink"/>
                <w:rFonts w:ascii="Times New Roman" w:hAnsi="Times New Roman"/>
                <w:noProof/>
                <w:webHidden/>
                <w:color w:val="auto"/>
                <w:sz w:val="24"/>
                <w:szCs w:val="24"/>
              </w:rPr>
              <w:fldChar w:fldCharType="end"/>
            </w:r>
          </w:hyperlink>
        </w:p>
        <w:p w:rsidR="00D72DB6" w:rsidRPr="00D72DB6" w:rsidRDefault="003C6EA5" w:rsidP="00D72DB6">
          <w:pPr>
            <w:pStyle w:val="TOC2"/>
            <w:rPr>
              <w:rFonts w:ascii="Times New Roman" w:eastAsiaTheme="minorEastAsia" w:hAnsi="Times New Roman"/>
              <w:noProof/>
              <w:sz w:val="24"/>
              <w:szCs w:val="24"/>
              <w:lang w:val="en-US"/>
            </w:rPr>
          </w:pPr>
          <w:hyperlink r:id="rId11" w:anchor="_Toc507424880" w:history="1">
            <w:r w:rsidR="00D72DB6" w:rsidRPr="00D72DB6">
              <w:rPr>
                <w:rStyle w:val="Hyperlink"/>
                <w:rFonts w:ascii="Times New Roman" w:hAnsi="Times New Roman"/>
                <w:noProof/>
                <w:sz w:val="24"/>
                <w:szCs w:val="24"/>
              </w:rPr>
              <w:t>2.4 Strategji dhe indikatorë</w:t>
            </w:r>
            <w:r w:rsidR="00D72DB6" w:rsidRPr="00D72DB6">
              <w:rPr>
                <w:rStyle w:val="Hyperlink"/>
                <w:rFonts w:ascii="Times New Roman" w:hAnsi="Times New Roman"/>
                <w:noProof/>
                <w:webHidden/>
                <w:color w:val="auto"/>
                <w:sz w:val="24"/>
                <w:szCs w:val="24"/>
              </w:rPr>
              <w:tab/>
            </w:r>
            <w:r w:rsidRPr="00D72DB6">
              <w:rPr>
                <w:rStyle w:val="Hyperlink"/>
                <w:rFonts w:ascii="Times New Roman" w:hAnsi="Times New Roman"/>
                <w:noProof/>
                <w:webHidden/>
                <w:color w:val="auto"/>
                <w:sz w:val="24"/>
                <w:szCs w:val="24"/>
              </w:rPr>
              <w:fldChar w:fldCharType="begin"/>
            </w:r>
            <w:r w:rsidR="00D72DB6" w:rsidRPr="00D72DB6">
              <w:rPr>
                <w:rStyle w:val="Hyperlink"/>
                <w:rFonts w:ascii="Times New Roman" w:hAnsi="Times New Roman"/>
                <w:noProof/>
                <w:webHidden/>
                <w:color w:val="auto"/>
                <w:sz w:val="24"/>
                <w:szCs w:val="24"/>
              </w:rPr>
              <w:instrText xml:space="preserve"> PAGEREF _Toc507424880 \h </w:instrText>
            </w:r>
            <w:r w:rsidRPr="00D72DB6">
              <w:rPr>
                <w:rStyle w:val="Hyperlink"/>
                <w:rFonts w:ascii="Times New Roman" w:hAnsi="Times New Roman"/>
                <w:noProof/>
                <w:webHidden/>
                <w:color w:val="auto"/>
                <w:sz w:val="24"/>
                <w:szCs w:val="24"/>
              </w:rPr>
            </w:r>
            <w:r w:rsidRPr="00D72DB6">
              <w:rPr>
                <w:rStyle w:val="Hyperlink"/>
                <w:rFonts w:ascii="Times New Roman" w:hAnsi="Times New Roman"/>
                <w:noProof/>
                <w:webHidden/>
                <w:color w:val="auto"/>
                <w:sz w:val="24"/>
                <w:szCs w:val="24"/>
              </w:rPr>
              <w:fldChar w:fldCharType="separate"/>
            </w:r>
            <w:r w:rsidR="00D72DB6" w:rsidRPr="00D72DB6">
              <w:rPr>
                <w:rStyle w:val="Hyperlink"/>
                <w:rFonts w:ascii="Times New Roman" w:hAnsi="Times New Roman"/>
                <w:noProof/>
                <w:webHidden/>
                <w:color w:val="auto"/>
                <w:sz w:val="24"/>
                <w:szCs w:val="24"/>
              </w:rPr>
              <w:t>10</w:t>
            </w:r>
            <w:r w:rsidRPr="00D72DB6">
              <w:rPr>
                <w:rStyle w:val="Hyperlink"/>
                <w:rFonts w:ascii="Times New Roman" w:hAnsi="Times New Roman"/>
                <w:noProof/>
                <w:webHidden/>
                <w:color w:val="auto"/>
                <w:sz w:val="24"/>
                <w:szCs w:val="24"/>
              </w:rPr>
              <w:fldChar w:fldCharType="end"/>
            </w:r>
          </w:hyperlink>
        </w:p>
        <w:p w:rsidR="00D72DB6" w:rsidRPr="00D72DB6" w:rsidRDefault="003C6EA5" w:rsidP="00D72DB6">
          <w:pPr>
            <w:pStyle w:val="TOC3"/>
            <w:rPr>
              <w:rFonts w:eastAsiaTheme="minorEastAsia"/>
              <w:sz w:val="24"/>
              <w:szCs w:val="24"/>
              <w:lang w:val="en-US"/>
            </w:rPr>
          </w:pPr>
          <w:hyperlink r:id="rId12" w:anchor="_Toc507424881" w:history="1">
            <w:r w:rsidR="00D72DB6" w:rsidRPr="00D72DB6">
              <w:rPr>
                <w:rStyle w:val="Hyperlink"/>
                <w:sz w:val="24"/>
                <w:szCs w:val="24"/>
              </w:rPr>
              <w:t>2.4.1 Strategjia Ndërsektoriale për Reformën në Administratën Publike</w:t>
            </w:r>
            <w:r w:rsidR="00D72DB6" w:rsidRPr="00D72DB6">
              <w:rPr>
                <w:rStyle w:val="Hyperlink"/>
                <w:webHidden/>
                <w:color w:val="auto"/>
                <w:sz w:val="24"/>
                <w:szCs w:val="24"/>
              </w:rPr>
              <w:tab/>
            </w:r>
            <w:r w:rsidRPr="00D72DB6">
              <w:rPr>
                <w:rStyle w:val="Hyperlink"/>
                <w:webHidden/>
                <w:color w:val="auto"/>
                <w:sz w:val="24"/>
                <w:szCs w:val="24"/>
              </w:rPr>
              <w:fldChar w:fldCharType="begin"/>
            </w:r>
            <w:r w:rsidR="00D72DB6" w:rsidRPr="00D72DB6">
              <w:rPr>
                <w:rStyle w:val="Hyperlink"/>
                <w:webHidden/>
                <w:color w:val="auto"/>
                <w:sz w:val="24"/>
                <w:szCs w:val="24"/>
              </w:rPr>
              <w:instrText xml:space="preserve"> PAGEREF _Toc507424881 \h </w:instrText>
            </w:r>
            <w:r w:rsidRPr="00D72DB6">
              <w:rPr>
                <w:rStyle w:val="Hyperlink"/>
                <w:webHidden/>
                <w:color w:val="auto"/>
                <w:sz w:val="24"/>
                <w:szCs w:val="24"/>
              </w:rPr>
            </w:r>
            <w:r w:rsidRPr="00D72DB6">
              <w:rPr>
                <w:rStyle w:val="Hyperlink"/>
                <w:webHidden/>
                <w:color w:val="auto"/>
                <w:sz w:val="24"/>
                <w:szCs w:val="24"/>
              </w:rPr>
              <w:fldChar w:fldCharType="separate"/>
            </w:r>
            <w:r w:rsidR="00D72DB6" w:rsidRPr="00D72DB6">
              <w:rPr>
                <w:rStyle w:val="Hyperlink"/>
                <w:webHidden/>
                <w:color w:val="auto"/>
                <w:sz w:val="24"/>
                <w:szCs w:val="24"/>
              </w:rPr>
              <w:t>10</w:t>
            </w:r>
            <w:r w:rsidRPr="00D72DB6">
              <w:rPr>
                <w:rStyle w:val="Hyperlink"/>
                <w:webHidden/>
                <w:color w:val="auto"/>
                <w:sz w:val="24"/>
                <w:szCs w:val="24"/>
              </w:rPr>
              <w:fldChar w:fldCharType="end"/>
            </w:r>
          </w:hyperlink>
        </w:p>
        <w:p w:rsidR="00D72DB6" w:rsidRPr="00D72DB6" w:rsidRDefault="003C6EA5" w:rsidP="00D72DB6">
          <w:pPr>
            <w:pStyle w:val="TOC3"/>
            <w:rPr>
              <w:rFonts w:eastAsiaTheme="minorEastAsia"/>
              <w:sz w:val="24"/>
              <w:szCs w:val="24"/>
              <w:lang w:val="en-US"/>
            </w:rPr>
          </w:pPr>
          <w:hyperlink r:id="rId13" w:anchor="_Toc507424882" w:history="1">
            <w:r w:rsidR="00D72DB6" w:rsidRPr="00D72DB6">
              <w:rPr>
                <w:rStyle w:val="Hyperlink"/>
                <w:sz w:val="24"/>
                <w:szCs w:val="24"/>
              </w:rPr>
              <w:t>2.4.2 Kontrata Sektoriale e Mbështetjes Buxhetore për Reformën në Administratën Publike</w:t>
            </w:r>
            <w:r w:rsidR="00D72DB6" w:rsidRPr="00D72DB6">
              <w:rPr>
                <w:rStyle w:val="Hyperlink"/>
                <w:webHidden/>
                <w:color w:val="auto"/>
                <w:sz w:val="24"/>
                <w:szCs w:val="24"/>
              </w:rPr>
              <w:tab/>
            </w:r>
            <w:r w:rsidRPr="00D72DB6">
              <w:rPr>
                <w:rStyle w:val="Hyperlink"/>
                <w:webHidden/>
                <w:color w:val="auto"/>
                <w:sz w:val="24"/>
                <w:szCs w:val="24"/>
              </w:rPr>
              <w:fldChar w:fldCharType="begin"/>
            </w:r>
            <w:r w:rsidR="00D72DB6" w:rsidRPr="00D72DB6">
              <w:rPr>
                <w:rStyle w:val="Hyperlink"/>
                <w:webHidden/>
                <w:color w:val="auto"/>
                <w:sz w:val="24"/>
                <w:szCs w:val="24"/>
              </w:rPr>
              <w:instrText xml:space="preserve"> PAGEREF _Toc507424882 \h </w:instrText>
            </w:r>
            <w:r w:rsidRPr="00D72DB6">
              <w:rPr>
                <w:rStyle w:val="Hyperlink"/>
                <w:webHidden/>
                <w:color w:val="auto"/>
                <w:sz w:val="24"/>
                <w:szCs w:val="24"/>
              </w:rPr>
            </w:r>
            <w:r w:rsidRPr="00D72DB6">
              <w:rPr>
                <w:rStyle w:val="Hyperlink"/>
                <w:webHidden/>
                <w:color w:val="auto"/>
                <w:sz w:val="24"/>
                <w:szCs w:val="24"/>
              </w:rPr>
              <w:fldChar w:fldCharType="separate"/>
            </w:r>
            <w:r w:rsidR="00D72DB6" w:rsidRPr="00D72DB6">
              <w:rPr>
                <w:rStyle w:val="Hyperlink"/>
                <w:webHidden/>
                <w:color w:val="auto"/>
                <w:sz w:val="24"/>
                <w:szCs w:val="24"/>
              </w:rPr>
              <w:t>11</w:t>
            </w:r>
            <w:r w:rsidRPr="00D72DB6">
              <w:rPr>
                <w:rStyle w:val="Hyperlink"/>
                <w:webHidden/>
                <w:color w:val="auto"/>
                <w:sz w:val="24"/>
                <w:szCs w:val="24"/>
              </w:rPr>
              <w:fldChar w:fldCharType="end"/>
            </w:r>
          </w:hyperlink>
        </w:p>
        <w:p w:rsidR="00D72DB6" w:rsidRPr="00D72DB6" w:rsidRDefault="003C6EA5" w:rsidP="00D72DB6">
          <w:pPr>
            <w:pStyle w:val="TOC3"/>
            <w:rPr>
              <w:rFonts w:eastAsiaTheme="minorEastAsia"/>
              <w:sz w:val="24"/>
              <w:szCs w:val="24"/>
              <w:lang w:val="en-US"/>
            </w:rPr>
          </w:pPr>
          <w:hyperlink r:id="rId14" w:anchor="_Toc507424883" w:history="1">
            <w:r w:rsidR="00D72DB6" w:rsidRPr="00D72DB6">
              <w:rPr>
                <w:rStyle w:val="Hyperlink"/>
                <w:sz w:val="24"/>
                <w:szCs w:val="24"/>
              </w:rPr>
              <w:t>2.4.3 Strategjia Ndërsektoriale Antikorrupsion</w:t>
            </w:r>
            <w:r w:rsidR="00D72DB6" w:rsidRPr="00D72DB6">
              <w:rPr>
                <w:rStyle w:val="Hyperlink"/>
                <w:webHidden/>
                <w:color w:val="auto"/>
                <w:sz w:val="24"/>
                <w:szCs w:val="24"/>
              </w:rPr>
              <w:tab/>
            </w:r>
            <w:r w:rsidRPr="00D72DB6">
              <w:rPr>
                <w:rStyle w:val="Hyperlink"/>
                <w:webHidden/>
                <w:color w:val="auto"/>
                <w:sz w:val="24"/>
                <w:szCs w:val="24"/>
              </w:rPr>
              <w:fldChar w:fldCharType="begin"/>
            </w:r>
            <w:r w:rsidR="00D72DB6" w:rsidRPr="00D72DB6">
              <w:rPr>
                <w:rStyle w:val="Hyperlink"/>
                <w:webHidden/>
                <w:color w:val="auto"/>
                <w:sz w:val="24"/>
                <w:szCs w:val="24"/>
              </w:rPr>
              <w:instrText xml:space="preserve"> PAGEREF _Toc507424883 \h </w:instrText>
            </w:r>
            <w:r w:rsidRPr="00D72DB6">
              <w:rPr>
                <w:rStyle w:val="Hyperlink"/>
                <w:webHidden/>
                <w:color w:val="auto"/>
                <w:sz w:val="24"/>
                <w:szCs w:val="24"/>
              </w:rPr>
            </w:r>
            <w:r w:rsidRPr="00D72DB6">
              <w:rPr>
                <w:rStyle w:val="Hyperlink"/>
                <w:webHidden/>
                <w:color w:val="auto"/>
                <w:sz w:val="24"/>
                <w:szCs w:val="24"/>
              </w:rPr>
              <w:fldChar w:fldCharType="separate"/>
            </w:r>
            <w:r w:rsidR="00D72DB6" w:rsidRPr="00D72DB6">
              <w:rPr>
                <w:rStyle w:val="Hyperlink"/>
                <w:webHidden/>
                <w:color w:val="auto"/>
                <w:sz w:val="24"/>
                <w:szCs w:val="24"/>
              </w:rPr>
              <w:t>12</w:t>
            </w:r>
            <w:r w:rsidRPr="00D72DB6">
              <w:rPr>
                <w:rStyle w:val="Hyperlink"/>
                <w:webHidden/>
                <w:color w:val="auto"/>
                <w:sz w:val="24"/>
                <w:szCs w:val="24"/>
              </w:rPr>
              <w:fldChar w:fldCharType="end"/>
            </w:r>
          </w:hyperlink>
        </w:p>
        <w:p w:rsidR="00D72DB6" w:rsidRPr="00D72DB6" w:rsidRDefault="003C6EA5" w:rsidP="00D72DB6">
          <w:pPr>
            <w:pStyle w:val="TOC2"/>
            <w:rPr>
              <w:rFonts w:ascii="Times New Roman" w:eastAsiaTheme="minorEastAsia" w:hAnsi="Times New Roman"/>
              <w:noProof/>
              <w:sz w:val="24"/>
              <w:szCs w:val="24"/>
              <w:lang w:val="en-US"/>
            </w:rPr>
          </w:pPr>
          <w:hyperlink r:id="rId15" w:anchor="_Toc507424884" w:history="1">
            <w:r w:rsidR="00D72DB6" w:rsidRPr="00D72DB6">
              <w:rPr>
                <w:rStyle w:val="Hyperlink"/>
                <w:rFonts w:ascii="Times New Roman" w:hAnsi="Times New Roman"/>
                <w:noProof/>
                <w:sz w:val="24"/>
                <w:szCs w:val="24"/>
              </w:rPr>
              <w:t>2.5 Bashkëpunime</w:t>
            </w:r>
            <w:r w:rsidR="00D72DB6" w:rsidRPr="00D72DB6">
              <w:rPr>
                <w:rStyle w:val="Hyperlink"/>
                <w:rFonts w:ascii="Times New Roman" w:hAnsi="Times New Roman"/>
                <w:noProof/>
                <w:webHidden/>
                <w:color w:val="auto"/>
                <w:sz w:val="24"/>
                <w:szCs w:val="24"/>
              </w:rPr>
              <w:tab/>
            </w:r>
            <w:r w:rsidRPr="00D72DB6">
              <w:rPr>
                <w:rStyle w:val="Hyperlink"/>
                <w:rFonts w:ascii="Times New Roman" w:hAnsi="Times New Roman"/>
                <w:noProof/>
                <w:webHidden/>
                <w:color w:val="auto"/>
                <w:sz w:val="24"/>
                <w:szCs w:val="24"/>
              </w:rPr>
              <w:fldChar w:fldCharType="begin"/>
            </w:r>
            <w:r w:rsidR="00D72DB6" w:rsidRPr="00D72DB6">
              <w:rPr>
                <w:rStyle w:val="Hyperlink"/>
                <w:rFonts w:ascii="Times New Roman" w:hAnsi="Times New Roman"/>
                <w:noProof/>
                <w:webHidden/>
                <w:color w:val="auto"/>
                <w:sz w:val="24"/>
                <w:szCs w:val="24"/>
              </w:rPr>
              <w:instrText xml:space="preserve"> PAGEREF _Toc507424884 \h </w:instrText>
            </w:r>
            <w:r w:rsidRPr="00D72DB6">
              <w:rPr>
                <w:rStyle w:val="Hyperlink"/>
                <w:rFonts w:ascii="Times New Roman" w:hAnsi="Times New Roman"/>
                <w:noProof/>
                <w:webHidden/>
                <w:color w:val="auto"/>
                <w:sz w:val="24"/>
                <w:szCs w:val="24"/>
              </w:rPr>
            </w:r>
            <w:r w:rsidRPr="00D72DB6">
              <w:rPr>
                <w:rStyle w:val="Hyperlink"/>
                <w:rFonts w:ascii="Times New Roman" w:hAnsi="Times New Roman"/>
                <w:noProof/>
                <w:webHidden/>
                <w:color w:val="auto"/>
                <w:sz w:val="24"/>
                <w:szCs w:val="24"/>
              </w:rPr>
              <w:fldChar w:fldCharType="separate"/>
            </w:r>
            <w:r w:rsidR="00D72DB6" w:rsidRPr="00D72DB6">
              <w:rPr>
                <w:rStyle w:val="Hyperlink"/>
                <w:rFonts w:ascii="Times New Roman" w:hAnsi="Times New Roman"/>
                <w:noProof/>
                <w:webHidden/>
                <w:color w:val="auto"/>
                <w:sz w:val="24"/>
                <w:szCs w:val="24"/>
              </w:rPr>
              <w:t>13</w:t>
            </w:r>
            <w:r w:rsidRPr="00D72DB6">
              <w:rPr>
                <w:rStyle w:val="Hyperlink"/>
                <w:rFonts w:ascii="Times New Roman" w:hAnsi="Times New Roman"/>
                <w:noProof/>
                <w:webHidden/>
                <w:color w:val="auto"/>
                <w:sz w:val="24"/>
                <w:szCs w:val="24"/>
              </w:rPr>
              <w:fldChar w:fldCharType="end"/>
            </w:r>
          </w:hyperlink>
        </w:p>
        <w:p w:rsidR="00D72DB6" w:rsidRPr="00D72DB6" w:rsidRDefault="003C6EA5" w:rsidP="00D72DB6">
          <w:pPr>
            <w:pStyle w:val="TOC3"/>
            <w:rPr>
              <w:rFonts w:eastAsiaTheme="minorEastAsia"/>
              <w:sz w:val="24"/>
              <w:szCs w:val="24"/>
              <w:lang w:val="en-US"/>
            </w:rPr>
          </w:pPr>
          <w:hyperlink r:id="rId16" w:anchor="_Toc507424885" w:history="1">
            <w:r w:rsidR="00D72DB6" w:rsidRPr="00D72DB6">
              <w:rPr>
                <w:rStyle w:val="Hyperlink"/>
                <w:sz w:val="24"/>
                <w:szCs w:val="24"/>
              </w:rPr>
              <w:t>2.5.1 Bashkëpunimi me Projektin Star 2 të UNDP</w:t>
            </w:r>
            <w:r w:rsidR="00D72DB6" w:rsidRPr="00D72DB6">
              <w:rPr>
                <w:rStyle w:val="Hyperlink"/>
                <w:webHidden/>
                <w:color w:val="auto"/>
                <w:sz w:val="24"/>
                <w:szCs w:val="24"/>
              </w:rPr>
              <w:tab/>
            </w:r>
            <w:r w:rsidRPr="00D72DB6">
              <w:rPr>
                <w:rStyle w:val="Hyperlink"/>
                <w:webHidden/>
                <w:color w:val="auto"/>
                <w:sz w:val="24"/>
                <w:szCs w:val="24"/>
              </w:rPr>
              <w:fldChar w:fldCharType="begin"/>
            </w:r>
            <w:r w:rsidR="00D72DB6" w:rsidRPr="00D72DB6">
              <w:rPr>
                <w:rStyle w:val="Hyperlink"/>
                <w:webHidden/>
                <w:color w:val="auto"/>
                <w:sz w:val="24"/>
                <w:szCs w:val="24"/>
              </w:rPr>
              <w:instrText xml:space="preserve"> PAGEREF _Toc507424885 \h </w:instrText>
            </w:r>
            <w:r w:rsidRPr="00D72DB6">
              <w:rPr>
                <w:rStyle w:val="Hyperlink"/>
                <w:webHidden/>
                <w:color w:val="auto"/>
                <w:sz w:val="24"/>
                <w:szCs w:val="24"/>
              </w:rPr>
            </w:r>
            <w:r w:rsidRPr="00D72DB6">
              <w:rPr>
                <w:rStyle w:val="Hyperlink"/>
                <w:webHidden/>
                <w:color w:val="auto"/>
                <w:sz w:val="24"/>
                <w:szCs w:val="24"/>
              </w:rPr>
              <w:fldChar w:fldCharType="separate"/>
            </w:r>
            <w:r w:rsidR="00D72DB6" w:rsidRPr="00D72DB6">
              <w:rPr>
                <w:rStyle w:val="Hyperlink"/>
                <w:webHidden/>
                <w:color w:val="auto"/>
                <w:sz w:val="24"/>
                <w:szCs w:val="24"/>
              </w:rPr>
              <w:t>13</w:t>
            </w:r>
            <w:r w:rsidRPr="00D72DB6">
              <w:rPr>
                <w:rStyle w:val="Hyperlink"/>
                <w:webHidden/>
                <w:color w:val="auto"/>
                <w:sz w:val="24"/>
                <w:szCs w:val="24"/>
              </w:rPr>
              <w:fldChar w:fldCharType="end"/>
            </w:r>
          </w:hyperlink>
        </w:p>
        <w:p w:rsidR="00D72DB6" w:rsidRPr="00D72DB6" w:rsidRDefault="003C6EA5" w:rsidP="00D72DB6">
          <w:pPr>
            <w:pStyle w:val="TOC3"/>
            <w:rPr>
              <w:rFonts w:eastAsiaTheme="minorEastAsia"/>
              <w:sz w:val="24"/>
              <w:szCs w:val="24"/>
              <w:lang w:val="en-US"/>
            </w:rPr>
          </w:pPr>
          <w:hyperlink r:id="rId17" w:anchor="_Toc507424886" w:history="1">
            <w:r w:rsidR="00D72DB6" w:rsidRPr="00D72DB6">
              <w:rPr>
                <w:rStyle w:val="Hyperlink"/>
                <w:sz w:val="24"/>
                <w:szCs w:val="24"/>
              </w:rPr>
              <w:t>2.5.2 Bashkëpunimi me ASPA</w:t>
            </w:r>
            <w:r w:rsidR="00D72DB6" w:rsidRPr="00D72DB6">
              <w:rPr>
                <w:rStyle w:val="Hyperlink"/>
                <w:webHidden/>
                <w:color w:val="auto"/>
                <w:sz w:val="24"/>
                <w:szCs w:val="24"/>
              </w:rPr>
              <w:tab/>
            </w:r>
            <w:r w:rsidRPr="00D72DB6">
              <w:rPr>
                <w:rStyle w:val="Hyperlink"/>
                <w:webHidden/>
                <w:color w:val="auto"/>
                <w:sz w:val="24"/>
                <w:szCs w:val="24"/>
              </w:rPr>
              <w:fldChar w:fldCharType="begin"/>
            </w:r>
            <w:r w:rsidR="00D72DB6" w:rsidRPr="00D72DB6">
              <w:rPr>
                <w:rStyle w:val="Hyperlink"/>
                <w:webHidden/>
                <w:color w:val="auto"/>
                <w:sz w:val="24"/>
                <w:szCs w:val="24"/>
              </w:rPr>
              <w:instrText xml:space="preserve"> PAGEREF _Toc507424886 \h </w:instrText>
            </w:r>
            <w:r w:rsidRPr="00D72DB6">
              <w:rPr>
                <w:rStyle w:val="Hyperlink"/>
                <w:webHidden/>
                <w:color w:val="auto"/>
                <w:sz w:val="24"/>
                <w:szCs w:val="24"/>
              </w:rPr>
            </w:r>
            <w:r w:rsidRPr="00D72DB6">
              <w:rPr>
                <w:rStyle w:val="Hyperlink"/>
                <w:webHidden/>
                <w:color w:val="auto"/>
                <w:sz w:val="24"/>
                <w:szCs w:val="24"/>
              </w:rPr>
              <w:fldChar w:fldCharType="separate"/>
            </w:r>
            <w:r w:rsidR="00D72DB6" w:rsidRPr="00D72DB6">
              <w:rPr>
                <w:rStyle w:val="Hyperlink"/>
                <w:webHidden/>
                <w:color w:val="auto"/>
                <w:sz w:val="24"/>
                <w:szCs w:val="24"/>
              </w:rPr>
              <w:t>13</w:t>
            </w:r>
            <w:r w:rsidRPr="00D72DB6">
              <w:rPr>
                <w:rStyle w:val="Hyperlink"/>
                <w:webHidden/>
                <w:color w:val="auto"/>
                <w:sz w:val="24"/>
                <w:szCs w:val="24"/>
              </w:rPr>
              <w:fldChar w:fldCharType="end"/>
            </w:r>
          </w:hyperlink>
        </w:p>
        <w:p w:rsidR="00D72DB6" w:rsidRPr="00D72DB6" w:rsidRDefault="003C6EA5" w:rsidP="00D72DB6">
          <w:pPr>
            <w:pStyle w:val="TOC1"/>
            <w:rPr>
              <w:rFonts w:ascii="Times New Roman" w:eastAsiaTheme="minorEastAsia" w:hAnsi="Times New Roman"/>
              <w:noProof/>
              <w:sz w:val="24"/>
              <w:szCs w:val="24"/>
              <w:lang w:val="en-US"/>
            </w:rPr>
          </w:pPr>
          <w:hyperlink r:id="rId18" w:anchor="_Toc507424887" w:history="1">
            <w:r w:rsidR="00D72DB6" w:rsidRPr="00D72DB6">
              <w:rPr>
                <w:rStyle w:val="Hyperlink"/>
                <w:rFonts w:ascii="Times New Roman" w:hAnsi="Times New Roman"/>
                <w:b/>
                <w:noProof/>
                <w:sz w:val="24"/>
                <w:szCs w:val="24"/>
              </w:rPr>
              <w:t>3. E DREJTA E MBROJTJES SË TË DHËNAVE PERSONALE</w:t>
            </w:r>
            <w:r w:rsidR="00D72DB6" w:rsidRPr="00D72DB6">
              <w:rPr>
                <w:rStyle w:val="Hyperlink"/>
                <w:rFonts w:ascii="Times New Roman" w:hAnsi="Times New Roman"/>
                <w:noProof/>
                <w:webHidden/>
                <w:color w:val="auto"/>
                <w:sz w:val="24"/>
                <w:szCs w:val="24"/>
              </w:rPr>
              <w:tab/>
            </w:r>
            <w:r w:rsidRPr="00D72DB6">
              <w:rPr>
                <w:rStyle w:val="Hyperlink"/>
                <w:rFonts w:ascii="Times New Roman" w:hAnsi="Times New Roman"/>
                <w:noProof/>
                <w:webHidden/>
                <w:color w:val="auto"/>
                <w:sz w:val="24"/>
                <w:szCs w:val="24"/>
              </w:rPr>
              <w:fldChar w:fldCharType="begin"/>
            </w:r>
            <w:r w:rsidR="00D72DB6" w:rsidRPr="00D72DB6">
              <w:rPr>
                <w:rStyle w:val="Hyperlink"/>
                <w:rFonts w:ascii="Times New Roman" w:hAnsi="Times New Roman"/>
                <w:noProof/>
                <w:webHidden/>
                <w:color w:val="auto"/>
                <w:sz w:val="24"/>
                <w:szCs w:val="24"/>
              </w:rPr>
              <w:instrText xml:space="preserve"> PAGEREF _Toc507424887 \h </w:instrText>
            </w:r>
            <w:r w:rsidRPr="00D72DB6">
              <w:rPr>
                <w:rStyle w:val="Hyperlink"/>
                <w:rFonts w:ascii="Times New Roman" w:hAnsi="Times New Roman"/>
                <w:noProof/>
                <w:webHidden/>
                <w:color w:val="auto"/>
                <w:sz w:val="24"/>
                <w:szCs w:val="24"/>
              </w:rPr>
            </w:r>
            <w:r w:rsidRPr="00D72DB6">
              <w:rPr>
                <w:rStyle w:val="Hyperlink"/>
                <w:rFonts w:ascii="Times New Roman" w:hAnsi="Times New Roman"/>
                <w:noProof/>
                <w:webHidden/>
                <w:color w:val="auto"/>
                <w:sz w:val="24"/>
                <w:szCs w:val="24"/>
              </w:rPr>
              <w:fldChar w:fldCharType="separate"/>
            </w:r>
            <w:r w:rsidR="00D72DB6" w:rsidRPr="00D72DB6">
              <w:rPr>
                <w:rStyle w:val="Hyperlink"/>
                <w:rFonts w:ascii="Times New Roman" w:hAnsi="Times New Roman"/>
                <w:noProof/>
                <w:webHidden/>
                <w:color w:val="auto"/>
                <w:sz w:val="24"/>
                <w:szCs w:val="24"/>
              </w:rPr>
              <w:t>13</w:t>
            </w:r>
            <w:r w:rsidRPr="00D72DB6">
              <w:rPr>
                <w:rStyle w:val="Hyperlink"/>
                <w:rFonts w:ascii="Times New Roman" w:hAnsi="Times New Roman"/>
                <w:noProof/>
                <w:webHidden/>
                <w:color w:val="auto"/>
                <w:sz w:val="24"/>
                <w:szCs w:val="24"/>
              </w:rPr>
              <w:fldChar w:fldCharType="end"/>
            </w:r>
          </w:hyperlink>
        </w:p>
        <w:p w:rsidR="00D72DB6" w:rsidRPr="00D72DB6" w:rsidRDefault="003C6EA5" w:rsidP="00D72DB6">
          <w:pPr>
            <w:pStyle w:val="TOC2"/>
            <w:rPr>
              <w:rFonts w:ascii="Times New Roman" w:eastAsiaTheme="minorEastAsia" w:hAnsi="Times New Roman"/>
              <w:noProof/>
              <w:sz w:val="24"/>
              <w:szCs w:val="24"/>
              <w:lang w:val="en-US"/>
            </w:rPr>
          </w:pPr>
          <w:hyperlink r:id="rId19" w:anchor="_Toc507424888" w:history="1">
            <w:r w:rsidR="00D72DB6" w:rsidRPr="00D72DB6">
              <w:rPr>
                <w:rStyle w:val="Hyperlink"/>
                <w:rFonts w:ascii="Times New Roman" w:hAnsi="Times New Roman"/>
                <w:noProof/>
                <w:sz w:val="24"/>
                <w:szCs w:val="24"/>
              </w:rPr>
              <w:t>3.1 Monitorimi dhe mbikëqyrja e zbatimit të ligjit nr. 9887/2008 “Për mbrojtjen e  të dhënave personale”</w:t>
            </w:r>
            <w:r w:rsidR="00D72DB6" w:rsidRPr="00D72DB6">
              <w:rPr>
                <w:rStyle w:val="Hyperlink"/>
                <w:rFonts w:ascii="Times New Roman" w:hAnsi="Times New Roman"/>
                <w:noProof/>
                <w:webHidden/>
                <w:color w:val="auto"/>
                <w:sz w:val="24"/>
                <w:szCs w:val="24"/>
              </w:rPr>
              <w:tab/>
            </w:r>
            <w:r w:rsidRPr="00D72DB6">
              <w:rPr>
                <w:rStyle w:val="Hyperlink"/>
                <w:rFonts w:ascii="Times New Roman" w:hAnsi="Times New Roman"/>
                <w:noProof/>
                <w:webHidden/>
                <w:color w:val="auto"/>
                <w:sz w:val="24"/>
                <w:szCs w:val="24"/>
              </w:rPr>
              <w:fldChar w:fldCharType="begin"/>
            </w:r>
            <w:r w:rsidR="00D72DB6" w:rsidRPr="00D72DB6">
              <w:rPr>
                <w:rStyle w:val="Hyperlink"/>
                <w:rFonts w:ascii="Times New Roman" w:hAnsi="Times New Roman"/>
                <w:noProof/>
                <w:webHidden/>
                <w:color w:val="auto"/>
                <w:sz w:val="24"/>
                <w:szCs w:val="24"/>
              </w:rPr>
              <w:instrText xml:space="preserve"> PAGEREF _Toc507424888 \h </w:instrText>
            </w:r>
            <w:r w:rsidRPr="00D72DB6">
              <w:rPr>
                <w:rStyle w:val="Hyperlink"/>
                <w:rFonts w:ascii="Times New Roman" w:hAnsi="Times New Roman"/>
                <w:noProof/>
                <w:webHidden/>
                <w:color w:val="auto"/>
                <w:sz w:val="24"/>
                <w:szCs w:val="24"/>
              </w:rPr>
            </w:r>
            <w:r w:rsidRPr="00D72DB6">
              <w:rPr>
                <w:rStyle w:val="Hyperlink"/>
                <w:rFonts w:ascii="Times New Roman" w:hAnsi="Times New Roman"/>
                <w:noProof/>
                <w:webHidden/>
                <w:color w:val="auto"/>
                <w:sz w:val="24"/>
                <w:szCs w:val="24"/>
              </w:rPr>
              <w:fldChar w:fldCharType="separate"/>
            </w:r>
            <w:r w:rsidR="00D72DB6" w:rsidRPr="00D72DB6">
              <w:rPr>
                <w:rStyle w:val="Hyperlink"/>
                <w:rFonts w:ascii="Times New Roman" w:hAnsi="Times New Roman"/>
                <w:noProof/>
                <w:webHidden/>
                <w:color w:val="auto"/>
                <w:sz w:val="24"/>
                <w:szCs w:val="24"/>
              </w:rPr>
              <w:t>13</w:t>
            </w:r>
            <w:r w:rsidRPr="00D72DB6">
              <w:rPr>
                <w:rStyle w:val="Hyperlink"/>
                <w:rFonts w:ascii="Times New Roman" w:hAnsi="Times New Roman"/>
                <w:noProof/>
                <w:webHidden/>
                <w:color w:val="auto"/>
                <w:sz w:val="24"/>
                <w:szCs w:val="24"/>
              </w:rPr>
              <w:fldChar w:fldCharType="end"/>
            </w:r>
          </w:hyperlink>
        </w:p>
        <w:p w:rsidR="00D72DB6" w:rsidRPr="00D72DB6" w:rsidRDefault="003C6EA5" w:rsidP="00D72DB6">
          <w:pPr>
            <w:pStyle w:val="TOC2"/>
            <w:rPr>
              <w:rFonts w:ascii="Times New Roman" w:eastAsiaTheme="minorEastAsia" w:hAnsi="Times New Roman"/>
              <w:noProof/>
              <w:sz w:val="24"/>
              <w:szCs w:val="24"/>
              <w:lang w:val="en-US"/>
            </w:rPr>
          </w:pPr>
          <w:hyperlink r:id="rId20" w:anchor="_Toc507424889" w:history="1">
            <w:r w:rsidR="00D72DB6" w:rsidRPr="00D72DB6">
              <w:rPr>
                <w:rStyle w:val="Hyperlink"/>
                <w:rFonts w:ascii="Times New Roman" w:hAnsi="Times New Roman"/>
                <w:noProof/>
                <w:sz w:val="24"/>
                <w:szCs w:val="24"/>
              </w:rPr>
              <w:t>3.2 Trajtimi i ankesave</w:t>
            </w:r>
            <w:r w:rsidR="00D72DB6" w:rsidRPr="00D72DB6">
              <w:rPr>
                <w:rStyle w:val="Hyperlink"/>
                <w:rFonts w:ascii="Times New Roman" w:hAnsi="Times New Roman"/>
                <w:noProof/>
                <w:webHidden/>
                <w:color w:val="auto"/>
                <w:sz w:val="24"/>
                <w:szCs w:val="24"/>
              </w:rPr>
              <w:tab/>
            </w:r>
            <w:r w:rsidRPr="00D72DB6">
              <w:rPr>
                <w:rStyle w:val="Hyperlink"/>
                <w:rFonts w:ascii="Times New Roman" w:hAnsi="Times New Roman"/>
                <w:noProof/>
                <w:webHidden/>
                <w:color w:val="auto"/>
                <w:sz w:val="24"/>
                <w:szCs w:val="24"/>
              </w:rPr>
              <w:fldChar w:fldCharType="begin"/>
            </w:r>
            <w:r w:rsidR="00D72DB6" w:rsidRPr="00D72DB6">
              <w:rPr>
                <w:rStyle w:val="Hyperlink"/>
                <w:rFonts w:ascii="Times New Roman" w:hAnsi="Times New Roman"/>
                <w:noProof/>
                <w:webHidden/>
                <w:color w:val="auto"/>
                <w:sz w:val="24"/>
                <w:szCs w:val="24"/>
              </w:rPr>
              <w:instrText xml:space="preserve"> PAGEREF _Toc507424889 \h </w:instrText>
            </w:r>
            <w:r w:rsidRPr="00D72DB6">
              <w:rPr>
                <w:rStyle w:val="Hyperlink"/>
                <w:rFonts w:ascii="Times New Roman" w:hAnsi="Times New Roman"/>
                <w:noProof/>
                <w:webHidden/>
                <w:color w:val="auto"/>
                <w:sz w:val="24"/>
                <w:szCs w:val="24"/>
              </w:rPr>
            </w:r>
            <w:r w:rsidRPr="00D72DB6">
              <w:rPr>
                <w:rStyle w:val="Hyperlink"/>
                <w:rFonts w:ascii="Times New Roman" w:hAnsi="Times New Roman"/>
                <w:noProof/>
                <w:webHidden/>
                <w:color w:val="auto"/>
                <w:sz w:val="24"/>
                <w:szCs w:val="24"/>
              </w:rPr>
              <w:fldChar w:fldCharType="separate"/>
            </w:r>
            <w:r w:rsidR="00D72DB6" w:rsidRPr="00D72DB6">
              <w:rPr>
                <w:rStyle w:val="Hyperlink"/>
                <w:rFonts w:ascii="Times New Roman" w:hAnsi="Times New Roman"/>
                <w:noProof/>
                <w:webHidden/>
                <w:color w:val="auto"/>
                <w:sz w:val="24"/>
                <w:szCs w:val="24"/>
              </w:rPr>
              <w:t>14</w:t>
            </w:r>
            <w:r w:rsidRPr="00D72DB6">
              <w:rPr>
                <w:rStyle w:val="Hyperlink"/>
                <w:rFonts w:ascii="Times New Roman" w:hAnsi="Times New Roman"/>
                <w:noProof/>
                <w:webHidden/>
                <w:color w:val="auto"/>
                <w:sz w:val="24"/>
                <w:szCs w:val="24"/>
              </w:rPr>
              <w:fldChar w:fldCharType="end"/>
            </w:r>
          </w:hyperlink>
        </w:p>
        <w:p w:rsidR="00D72DB6" w:rsidRPr="00D72DB6" w:rsidRDefault="003C6EA5" w:rsidP="00D72DB6">
          <w:pPr>
            <w:pStyle w:val="TOC2"/>
            <w:rPr>
              <w:rFonts w:ascii="Times New Roman" w:eastAsiaTheme="minorEastAsia" w:hAnsi="Times New Roman"/>
              <w:noProof/>
              <w:sz w:val="24"/>
              <w:szCs w:val="24"/>
              <w:lang w:val="en-US"/>
            </w:rPr>
          </w:pPr>
          <w:hyperlink r:id="rId21" w:anchor="_Toc507424890" w:history="1">
            <w:r w:rsidR="00D72DB6" w:rsidRPr="00D72DB6">
              <w:rPr>
                <w:rStyle w:val="Hyperlink"/>
                <w:rFonts w:ascii="Times New Roman" w:hAnsi="Times New Roman"/>
                <w:noProof/>
                <w:sz w:val="24"/>
                <w:szCs w:val="24"/>
              </w:rPr>
              <w:t>3.3 Hetimet administrative</w:t>
            </w:r>
            <w:r w:rsidR="00D72DB6" w:rsidRPr="00D72DB6">
              <w:rPr>
                <w:rStyle w:val="Hyperlink"/>
                <w:rFonts w:ascii="Times New Roman" w:hAnsi="Times New Roman"/>
                <w:noProof/>
                <w:webHidden/>
                <w:color w:val="auto"/>
                <w:sz w:val="24"/>
                <w:szCs w:val="24"/>
              </w:rPr>
              <w:tab/>
            </w:r>
            <w:r w:rsidRPr="00D72DB6">
              <w:rPr>
                <w:rStyle w:val="Hyperlink"/>
                <w:rFonts w:ascii="Times New Roman" w:hAnsi="Times New Roman"/>
                <w:noProof/>
                <w:webHidden/>
                <w:color w:val="auto"/>
                <w:sz w:val="24"/>
                <w:szCs w:val="24"/>
              </w:rPr>
              <w:fldChar w:fldCharType="begin"/>
            </w:r>
            <w:r w:rsidR="00D72DB6" w:rsidRPr="00D72DB6">
              <w:rPr>
                <w:rStyle w:val="Hyperlink"/>
                <w:rFonts w:ascii="Times New Roman" w:hAnsi="Times New Roman"/>
                <w:noProof/>
                <w:webHidden/>
                <w:color w:val="auto"/>
                <w:sz w:val="24"/>
                <w:szCs w:val="24"/>
              </w:rPr>
              <w:instrText xml:space="preserve"> PAGEREF _Toc507424890 \h </w:instrText>
            </w:r>
            <w:r w:rsidRPr="00D72DB6">
              <w:rPr>
                <w:rStyle w:val="Hyperlink"/>
                <w:rFonts w:ascii="Times New Roman" w:hAnsi="Times New Roman"/>
                <w:noProof/>
                <w:webHidden/>
                <w:color w:val="auto"/>
                <w:sz w:val="24"/>
                <w:szCs w:val="24"/>
              </w:rPr>
            </w:r>
            <w:r w:rsidRPr="00D72DB6">
              <w:rPr>
                <w:rStyle w:val="Hyperlink"/>
                <w:rFonts w:ascii="Times New Roman" w:hAnsi="Times New Roman"/>
                <w:noProof/>
                <w:webHidden/>
                <w:color w:val="auto"/>
                <w:sz w:val="24"/>
                <w:szCs w:val="24"/>
              </w:rPr>
              <w:fldChar w:fldCharType="separate"/>
            </w:r>
            <w:r w:rsidR="00D72DB6" w:rsidRPr="00D72DB6">
              <w:rPr>
                <w:rStyle w:val="Hyperlink"/>
                <w:rFonts w:ascii="Times New Roman" w:hAnsi="Times New Roman"/>
                <w:noProof/>
                <w:webHidden/>
                <w:color w:val="auto"/>
                <w:sz w:val="24"/>
                <w:szCs w:val="24"/>
              </w:rPr>
              <w:t>15</w:t>
            </w:r>
            <w:r w:rsidRPr="00D72DB6">
              <w:rPr>
                <w:rStyle w:val="Hyperlink"/>
                <w:rFonts w:ascii="Times New Roman" w:hAnsi="Times New Roman"/>
                <w:noProof/>
                <w:webHidden/>
                <w:color w:val="auto"/>
                <w:sz w:val="24"/>
                <w:szCs w:val="24"/>
              </w:rPr>
              <w:fldChar w:fldCharType="end"/>
            </w:r>
          </w:hyperlink>
        </w:p>
        <w:p w:rsidR="00D72DB6" w:rsidRPr="00D72DB6" w:rsidRDefault="003C6EA5" w:rsidP="00D72DB6">
          <w:pPr>
            <w:pStyle w:val="TOC2"/>
            <w:rPr>
              <w:rFonts w:ascii="Times New Roman" w:eastAsiaTheme="minorEastAsia" w:hAnsi="Times New Roman"/>
              <w:noProof/>
              <w:sz w:val="24"/>
              <w:szCs w:val="24"/>
              <w:lang w:val="en-US"/>
            </w:rPr>
          </w:pPr>
          <w:hyperlink r:id="rId22" w:anchor="_Toc507424891" w:history="1">
            <w:r w:rsidR="00D72DB6" w:rsidRPr="00D72DB6">
              <w:rPr>
                <w:rStyle w:val="Hyperlink"/>
                <w:rFonts w:ascii="Times New Roman" w:hAnsi="Times New Roman"/>
                <w:noProof/>
                <w:sz w:val="24"/>
                <w:szCs w:val="24"/>
              </w:rPr>
              <w:t>3.4 Rekomandime dhe Urdhra</w:t>
            </w:r>
            <w:r w:rsidR="00D72DB6" w:rsidRPr="00D72DB6">
              <w:rPr>
                <w:rStyle w:val="Hyperlink"/>
                <w:rFonts w:ascii="Times New Roman" w:hAnsi="Times New Roman"/>
                <w:noProof/>
                <w:webHidden/>
                <w:color w:val="auto"/>
                <w:sz w:val="24"/>
                <w:szCs w:val="24"/>
              </w:rPr>
              <w:tab/>
            </w:r>
            <w:r w:rsidRPr="00D72DB6">
              <w:rPr>
                <w:rStyle w:val="Hyperlink"/>
                <w:rFonts w:ascii="Times New Roman" w:hAnsi="Times New Roman"/>
                <w:noProof/>
                <w:webHidden/>
                <w:color w:val="auto"/>
                <w:sz w:val="24"/>
                <w:szCs w:val="24"/>
              </w:rPr>
              <w:fldChar w:fldCharType="begin"/>
            </w:r>
            <w:r w:rsidR="00D72DB6" w:rsidRPr="00D72DB6">
              <w:rPr>
                <w:rStyle w:val="Hyperlink"/>
                <w:rFonts w:ascii="Times New Roman" w:hAnsi="Times New Roman"/>
                <w:noProof/>
                <w:webHidden/>
                <w:color w:val="auto"/>
                <w:sz w:val="24"/>
                <w:szCs w:val="24"/>
              </w:rPr>
              <w:instrText xml:space="preserve"> PAGEREF _Toc507424891 \h </w:instrText>
            </w:r>
            <w:r w:rsidRPr="00D72DB6">
              <w:rPr>
                <w:rStyle w:val="Hyperlink"/>
                <w:rFonts w:ascii="Times New Roman" w:hAnsi="Times New Roman"/>
                <w:noProof/>
                <w:webHidden/>
                <w:color w:val="auto"/>
                <w:sz w:val="24"/>
                <w:szCs w:val="24"/>
              </w:rPr>
            </w:r>
            <w:r w:rsidRPr="00D72DB6">
              <w:rPr>
                <w:rStyle w:val="Hyperlink"/>
                <w:rFonts w:ascii="Times New Roman" w:hAnsi="Times New Roman"/>
                <w:noProof/>
                <w:webHidden/>
                <w:color w:val="auto"/>
                <w:sz w:val="24"/>
                <w:szCs w:val="24"/>
              </w:rPr>
              <w:fldChar w:fldCharType="separate"/>
            </w:r>
            <w:r w:rsidR="00D72DB6" w:rsidRPr="00D72DB6">
              <w:rPr>
                <w:rStyle w:val="Hyperlink"/>
                <w:rFonts w:ascii="Times New Roman" w:hAnsi="Times New Roman"/>
                <w:noProof/>
                <w:webHidden/>
                <w:color w:val="auto"/>
                <w:sz w:val="24"/>
                <w:szCs w:val="24"/>
              </w:rPr>
              <w:t>17</w:t>
            </w:r>
            <w:r w:rsidRPr="00D72DB6">
              <w:rPr>
                <w:rStyle w:val="Hyperlink"/>
                <w:rFonts w:ascii="Times New Roman" w:hAnsi="Times New Roman"/>
                <w:noProof/>
                <w:webHidden/>
                <w:color w:val="auto"/>
                <w:sz w:val="24"/>
                <w:szCs w:val="24"/>
              </w:rPr>
              <w:fldChar w:fldCharType="end"/>
            </w:r>
          </w:hyperlink>
        </w:p>
        <w:p w:rsidR="00D72DB6" w:rsidRPr="00D72DB6" w:rsidRDefault="003C6EA5" w:rsidP="00D72DB6">
          <w:pPr>
            <w:pStyle w:val="TOC2"/>
            <w:rPr>
              <w:rFonts w:ascii="Times New Roman" w:eastAsiaTheme="minorEastAsia" w:hAnsi="Times New Roman"/>
              <w:noProof/>
              <w:sz w:val="24"/>
              <w:szCs w:val="24"/>
              <w:lang w:val="en-US"/>
            </w:rPr>
          </w:pPr>
          <w:hyperlink r:id="rId23" w:anchor="_Toc507424892" w:history="1">
            <w:r w:rsidR="00D72DB6" w:rsidRPr="00D72DB6">
              <w:rPr>
                <w:rStyle w:val="Hyperlink"/>
                <w:rFonts w:ascii="Times New Roman" w:hAnsi="Times New Roman"/>
                <w:noProof/>
                <w:sz w:val="24"/>
                <w:szCs w:val="24"/>
              </w:rPr>
              <w:t>3.5 Sanksione administrative</w:t>
            </w:r>
            <w:r w:rsidR="00D72DB6" w:rsidRPr="00D72DB6">
              <w:rPr>
                <w:rStyle w:val="Hyperlink"/>
                <w:rFonts w:ascii="Times New Roman" w:hAnsi="Times New Roman"/>
                <w:noProof/>
                <w:webHidden/>
                <w:color w:val="auto"/>
                <w:sz w:val="24"/>
                <w:szCs w:val="24"/>
              </w:rPr>
              <w:tab/>
            </w:r>
            <w:r w:rsidRPr="00D72DB6">
              <w:rPr>
                <w:rStyle w:val="Hyperlink"/>
                <w:rFonts w:ascii="Times New Roman" w:hAnsi="Times New Roman"/>
                <w:noProof/>
                <w:webHidden/>
                <w:color w:val="auto"/>
                <w:sz w:val="24"/>
                <w:szCs w:val="24"/>
              </w:rPr>
              <w:fldChar w:fldCharType="begin"/>
            </w:r>
            <w:r w:rsidR="00D72DB6" w:rsidRPr="00D72DB6">
              <w:rPr>
                <w:rStyle w:val="Hyperlink"/>
                <w:rFonts w:ascii="Times New Roman" w:hAnsi="Times New Roman"/>
                <w:noProof/>
                <w:webHidden/>
                <w:color w:val="auto"/>
                <w:sz w:val="24"/>
                <w:szCs w:val="24"/>
              </w:rPr>
              <w:instrText xml:space="preserve"> PAGEREF _Toc507424892 \h </w:instrText>
            </w:r>
            <w:r w:rsidRPr="00D72DB6">
              <w:rPr>
                <w:rStyle w:val="Hyperlink"/>
                <w:rFonts w:ascii="Times New Roman" w:hAnsi="Times New Roman"/>
                <w:noProof/>
                <w:webHidden/>
                <w:color w:val="auto"/>
                <w:sz w:val="24"/>
                <w:szCs w:val="24"/>
              </w:rPr>
            </w:r>
            <w:r w:rsidRPr="00D72DB6">
              <w:rPr>
                <w:rStyle w:val="Hyperlink"/>
                <w:rFonts w:ascii="Times New Roman" w:hAnsi="Times New Roman"/>
                <w:noProof/>
                <w:webHidden/>
                <w:color w:val="auto"/>
                <w:sz w:val="24"/>
                <w:szCs w:val="24"/>
              </w:rPr>
              <w:fldChar w:fldCharType="separate"/>
            </w:r>
            <w:r w:rsidR="00D72DB6" w:rsidRPr="00D72DB6">
              <w:rPr>
                <w:rStyle w:val="Hyperlink"/>
                <w:rFonts w:ascii="Times New Roman" w:hAnsi="Times New Roman"/>
                <w:noProof/>
                <w:webHidden/>
                <w:color w:val="auto"/>
                <w:sz w:val="24"/>
                <w:szCs w:val="24"/>
              </w:rPr>
              <w:t>18</w:t>
            </w:r>
            <w:r w:rsidRPr="00D72DB6">
              <w:rPr>
                <w:rStyle w:val="Hyperlink"/>
                <w:rFonts w:ascii="Times New Roman" w:hAnsi="Times New Roman"/>
                <w:noProof/>
                <w:webHidden/>
                <w:color w:val="auto"/>
                <w:sz w:val="24"/>
                <w:szCs w:val="24"/>
              </w:rPr>
              <w:fldChar w:fldCharType="end"/>
            </w:r>
          </w:hyperlink>
        </w:p>
        <w:p w:rsidR="00D72DB6" w:rsidRPr="00D72DB6" w:rsidRDefault="003C6EA5" w:rsidP="00D72DB6">
          <w:pPr>
            <w:pStyle w:val="TOC2"/>
            <w:rPr>
              <w:rFonts w:ascii="Times New Roman" w:eastAsiaTheme="minorEastAsia" w:hAnsi="Times New Roman"/>
              <w:noProof/>
              <w:sz w:val="24"/>
              <w:szCs w:val="24"/>
              <w:lang w:val="en-US"/>
            </w:rPr>
          </w:pPr>
          <w:hyperlink r:id="rId24" w:anchor="_Toc507424893" w:history="1">
            <w:r w:rsidR="00D72DB6" w:rsidRPr="00D72DB6">
              <w:rPr>
                <w:rStyle w:val="Hyperlink"/>
                <w:rFonts w:ascii="Times New Roman" w:hAnsi="Times New Roman"/>
                <w:noProof/>
                <w:sz w:val="24"/>
                <w:szCs w:val="24"/>
              </w:rPr>
              <w:t>3.6 Njoftimi</w:t>
            </w:r>
            <w:r w:rsidR="00D72DB6" w:rsidRPr="00D72DB6">
              <w:rPr>
                <w:rStyle w:val="Hyperlink"/>
                <w:rFonts w:ascii="Times New Roman" w:hAnsi="Times New Roman"/>
                <w:noProof/>
                <w:webHidden/>
                <w:color w:val="auto"/>
                <w:sz w:val="24"/>
                <w:szCs w:val="24"/>
              </w:rPr>
              <w:tab/>
            </w:r>
            <w:r w:rsidRPr="00D72DB6">
              <w:rPr>
                <w:rStyle w:val="Hyperlink"/>
                <w:rFonts w:ascii="Times New Roman" w:hAnsi="Times New Roman"/>
                <w:noProof/>
                <w:webHidden/>
                <w:color w:val="auto"/>
                <w:sz w:val="24"/>
                <w:szCs w:val="24"/>
              </w:rPr>
              <w:fldChar w:fldCharType="begin"/>
            </w:r>
            <w:r w:rsidR="00D72DB6" w:rsidRPr="00D72DB6">
              <w:rPr>
                <w:rStyle w:val="Hyperlink"/>
                <w:rFonts w:ascii="Times New Roman" w:hAnsi="Times New Roman"/>
                <w:noProof/>
                <w:webHidden/>
                <w:color w:val="auto"/>
                <w:sz w:val="24"/>
                <w:szCs w:val="24"/>
              </w:rPr>
              <w:instrText xml:space="preserve"> PAGEREF _Toc507424893 \h </w:instrText>
            </w:r>
            <w:r w:rsidRPr="00D72DB6">
              <w:rPr>
                <w:rStyle w:val="Hyperlink"/>
                <w:rFonts w:ascii="Times New Roman" w:hAnsi="Times New Roman"/>
                <w:noProof/>
                <w:webHidden/>
                <w:color w:val="auto"/>
                <w:sz w:val="24"/>
                <w:szCs w:val="24"/>
              </w:rPr>
            </w:r>
            <w:r w:rsidRPr="00D72DB6">
              <w:rPr>
                <w:rStyle w:val="Hyperlink"/>
                <w:rFonts w:ascii="Times New Roman" w:hAnsi="Times New Roman"/>
                <w:noProof/>
                <w:webHidden/>
                <w:color w:val="auto"/>
                <w:sz w:val="24"/>
                <w:szCs w:val="24"/>
              </w:rPr>
              <w:fldChar w:fldCharType="separate"/>
            </w:r>
            <w:r w:rsidR="00D72DB6" w:rsidRPr="00D72DB6">
              <w:rPr>
                <w:rStyle w:val="Hyperlink"/>
                <w:rFonts w:ascii="Times New Roman" w:hAnsi="Times New Roman"/>
                <w:noProof/>
                <w:webHidden/>
                <w:color w:val="auto"/>
                <w:sz w:val="24"/>
                <w:szCs w:val="24"/>
              </w:rPr>
              <w:t>19</w:t>
            </w:r>
            <w:r w:rsidRPr="00D72DB6">
              <w:rPr>
                <w:rStyle w:val="Hyperlink"/>
                <w:rFonts w:ascii="Times New Roman" w:hAnsi="Times New Roman"/>
                <w:noProof/>
                <w:webHidden/>
                <w:color w:val="auto"/>
                <w:sz w:val="24"/>
                <w:szCs w:val="24"/>
              </w:rPr>
              <w:fldChar w:fldCharType="end"/>
            </w:r>
          </w:hyperlink>
        </w:p>
        <w:p w:rsidR="00D72DB6" w:rsidRPr="00D72DB6" w:rsidRDefault="003C6EA5" w:rsidP="00D72DB6">
          <w:pPr>
            <w:pStyle w:val="TOC2"/>
            <w:rPr>
              <w:rFonts w:ascii="Times New Roman" w:eastAsiaTheme="minorEastAsia" w:hAnsi="Times New Roman"/>
              <w:noProof/>
              <w:sz w:val="24"/>
              <w:szCs w:val="24"/>
              <w:lang w:val="en-US"/>
            </w:rPr>
          </w:pPr>
          <w:hyperlink r:id="rId25" w:anchor="_Toc507424894" w:history="1">
            <w:r w:rsidR="00D72DB6" w:rsidRPr="00D72DB6">
              <w:rPr>
                <w:rStyle w:val="Hyperlink"/>
                <w:rFonts w:ascii="Times New Roman" w:hAnsi="Times New Roman"/>
                <w:noProof/>
                <w:sz w:val="24"/>
                <w:szCs w:val="24"/>
              </w:rPr>
              <w:t>3.7 Transferimi ndërkombëtar</w:t>
            </w:r>
            <w:r w:rsidR="00D72DB6" w:rsidRPr="00D72DB6">
              <w:rPr>
                <w:rStyle w:val="Hyperlink"/>
                <w:rFonts w:ascii="Times New Roman" w:hAnsi="Times New Roman"/>
                <w:noProof/>
                <w:webHidden/>
                <w:color w:val="auto"/>
                <w:sz w:val="24"/>
                <w:szCs w:val="24"/>
              </w:rPr>
              <w:tab/>
            </w:r>
            <w:r w:rsidRPr="00D72DB6">
              <w:rPr>
                <w:rStyle w:val="Hyperlink"/>
                <w:rFonts w:ascii="Times New Roman" w:hAnsi="Times New Roman"/>
                <w:noProof/>
                <w:webHidden/>
                <w:color w:val="auto"/>
                <w:sz w:val="24"/>
                <w:szCs w:val="24"/>
              </w:rPr>
              <w:fldChar w:fldCharType="begin"/>
            </w:r>
            <w:r w:rsidR="00D72DB6" w:rsidRPr="00D72DB6">
              <w:rPr>
                <w:rStyle w:val="Hyperlink"/>
                <w:rFonts w:ascii="Times New Roman" w:hAnsi="Times New Roman"/>
                <w:noProof/>
                <w:webHidden/>
                <w:color w:val="auto"/>
                <w:sz w:val="24"/>
                <w:szCs w:val="24"/>
              </w:rPr>
              <w:instrText xml:space="preserve"> PAGEREF _Toc507424894 \h </w:instrText>
            </w:r>
            <w:r w:rsidRPr="00D72DB6">
              <w:rPr>
                <w:rStyle w:val="Hyperlink"/>
                <w:rFonts w:ascii="Times New Roman" w:hAnsi="Times New Roman"/>
                <w:noProof/>
                <w:webHidden/>
                <w:color w:val="auto"/>
                <w:sz w:val="24"/>
                <w:szCs w:val="24"/>
              </w:rPr>
            </w:r>
            <w:r w:rsidRPr="00D72DB6">
              <w:rPr>
                <w:rStyle w:val="Hyperlink"/>
                <w:rFonts w:ascii="Times New Roman" w:hAnsi="Times New Roman"/>
                <w:noProof/>
                <w:webHidden/>
                <w:color w:val="auto"/>
                <w:sz w:val="24"/>
                <w:szCs w:val="24"/>
              </w:rPr>
              <w:fldChar w:fldCharType="separate"/>
            </w:r>
            <w:r w:rsidR="00D72DB6" w:rsidRPr="00D72DB6">
              <w:rPr>
                <w:rStyle w:val="Hyperlink"/>
                <w:rFonts w:ascii="Times New Roman" w:hAnsi="Times New Roman"/>
                <w:noProof/>
                <w:webHidden/>
                <w:color w:val="auto"/>
                <w:sz w:val="24"/>
                <w:szCs w:val="24"/>
              </w:rPr>
              <w:t>19</w:t>
            </w:r>
            <w:r w:rsidRPr="00D72DB6">
              <w:rPr>
                <w:rStyle w:val="Hyperlink"/>
                <w:rFonts w:ascii="Times New Roman" w:hAnsi="Times New Roman"/>
                <w:noProof/>
                <w:webHidden/>
                <w:color w:val="auto"/>
                <w:sz w:val="24"/>
                <w:szCs w:val="24"/>
              </w:rPr>
              <w:fldChar w:fldCharType="end"/>
            </w:r>
          </w:hyperlink>
        </w:p>
        <w:p w:rsidR="00D72DB6" w:rsidRPr="00D72DB6" w:rsidRDefault="003C6EA5" w:rsidP="00D72DB6">
          <w:pPr>
            <w:pStyle w:val="TOC1"/>
            <w:rPr>
              <w:rFonts w:ascii="Times New Roman" w:eastAsiaTheme="minorEastAsia" w:hAnsi="Times New Roman"/>
              <w:noProof/>
              <w:sz w:val="24"/>
              <w:szCs w:val="24"/>
              <w:lang w:val="en-US"/>
            </w:rPr>
          </w:pPr>
          <w:hyperlink r:id="rId26" w:anchor="_Toc507424895" w:history="1">
            <w:r w:rsidR="00D72DB6" w:rsidRPr="00D72DB6">
              <w:rPr>
                <w:rStyle w:val="Hyperlink"/>
                <w:rFonts w:ascii="Times New Roman" w:hAnsi="Times New Roman"/>
                <w:b/>
                <w:noProof/>
                <w:sz w:val="24"/>
                <w:szCs w:val="24"/>
              </w:rPr>
              <w:t>4. VEPRIMTARIA LIGJORE, PROCEDURAT ADMINISTRATIVE DHE GJYQËSORE</w:t>
            </w:r>
            <w:r w:rsidR="00D72DB6" w:rsidRPr="00D72DB6">
              <w:rPr>
                <w:rStyle w:val="Hyperlink"/>
                <w:rFonts w:ascii="Times New Roman" w:hAnsi="Times New Roman"/>
                <w:noProof/>
                <w:webHidden/>
                <w:color w:val="auto"/>
                <w:sz w:val="24"/>
                <w:szCs w:val="24"/>
              </w:rPr>
              <w:tab/>
            </w:r>
            <w:r w:rsidRPr="00D72DB6">
              <w:rPr>
                <w:rStyle w:val="Hyperlink"/>
                <w:rFonts w:ascii="Times New Roman" w:hAnsi="Times New Roman"/>
                <w:noProof/>
                <w:webHidden/>
                <w:color w:val="auto"/>
                <w:sz w:val="24"/>
                <w:szCs w:val="24"/>
              </w:rPr>
              <w:fldChar w:fldCharType="begin"/>
            </w:r>
            <w:r w:rsidR="00D72DB6" w:rsidRPr="00D72DB6">
              <w:rPr>
                <w:rStyle w:val="Hyperlink"/>
                <w:rFonts w:ascii="Times New Roman" w:hAnsi="Times New Roman"/>
                <w:noProof/>
                <w:webHidden/>
                <w:color w:val="auto"/>
                <w:sz w:val="24"/>
                <w:szCs w:val="24"/>
              </w:rPr>
              <w:instrText xml:space="preserve"> PAGEREF _Toc507424895 \h </w:instrText>
            </w:r>
            <w:r w:rsidRPr="00D72DB6">
              <w:rPr>
                <w:rStyle w:val="Hyperlink"/>
                <w:rFonts w:ascii="Times New Roman" w:hAnsi="Times New Roman"/>
                <w:noProof/>
                <w:webHidden/>
                <w:color w:val="auto"/>
                <w:sz w:val="24"/>
                <w:szCs w:val="24"/>
              </w:rPr>
            </w:r>
            <w:r w:rsidRPr="00D72DB6">
              <w:rPr>
                <w:rStyle w:val="Hyperlink"/>
                <w:rFonts w:ascii="Times New Roman" w:hAnsi="Times New Roman"/>
                <w:noProof/>
                <w:webHidden/>
                <w:color w:val="auto"/>
                <w:sz w:val="24"/>
                <w:szCs w:val="24"/>
              </w:rPr>
              <w:fldChar w:fldCharType="separate"/>
            </w:r>
            <w:r w:rsidR="00D72DB6" w:rsidRPr="00D72DB6">
              <w:rPr>
                <w:rStyle w:val="Hyperlink"/>
                <w:rFonts w:ascii="Times New Roman" w:hAnsi="Times New Roman"/>
                <w:noProof/>
                <w:webHidden/>
                <w:color w:val="auto"/>
                <w:sz w:val="24"/>
                <w:szCs w:val="24"/>
              </w:rPr>
              <w:t>20</w:t>
            </w:r>
            <w:r w:rsidRPr="00D72DB6">
              <w:rPr>
                <w:rStyle w:val="Hyperlink"/>
                <w:rFonts w:ascii="Times New Roman" w:hAnsi="Times New Roman"/>
                <w:noProof/>
                <w:webHidden/>
                <w:color w:val="auto"/>
                <w:sz w:val="24"/>
                <w:szCs w:val="24"/>
              </w:rPr>
              <w:fldChar w:fldCharType="end"/>
            </w:r>
          </w:hyperlink>
        </w:p>
        <w:p w:rsidR="00D72DB6" w:rsidRPr="00D72DB6" w:rsidRDefault="003C6EA5" w:rsidP="00D72DB6">
          <w:pPr>
            <w:pStyle w:val="TOC2"/>
            <w:rPr>
              <w:rFonts w:ascii="Times New Roman" w:eastAsiaTheme="minorEastAsia" w:hAnsi="Times New Roman"/>
              <w:noProof/>
              <w:sz w:val="24"/>
              <w:szCs w:val="24"/>
              <w:lang w:val="en-US"/>
            </w:rPr>
          </w:pPr>
          <w:hyperlink r:id="rId27" w:anchor="_Toc507424896" w:history="1">
            <w:r w:rsidR="00D72DB6" w:rsidRPr="00D72DB6">
              <w:rPr>
                <w:rStyle w:val="Hyperlink"/>
                <w:rFonts w:ascii="Times New Roman" w:hAnsi="Times New Roman"/>
                <w:noProof/>
                <w:sz w:val="24"/>
                <w:szCs w:val="24"/>
              </w:rPr>
              <w:t>4.1 Hartimi i akteve rregullatore</w:t>
            </w:r>
            <w:r w:rsidR="00D72DB6" w:rsidRPr="00D72DB6">
              <w:rPr>
                <w:rStyle w:val="Hyperlink"/>
                <w:rFonts w:ascii="Times New Roman" w:hAnsi="Times New Roman"/>
                <w:noProof/>
                <w:webHidden/>
                <w:color w:val="auto"/>
                <w:sz w:val="24"/>
                <w:szCs w:val="24"/>
              </w:rPr>
              <w:tab/>
            </w:r>
            <w:r w:rsidRPr="00D72DB6">
              <w:rPr>
                <w:rStyle w:val="Hyperlink"/>
                <w:rFonts w:ascii="Times New Roman" w:hAnsi="Times New Roman"/>
                <w:noProof/>
                <w:webHidden/>
                <w:color w:val="auto"/>
                <w:sz w:val="24"/>
                <w:szCs w:val="24"/>
              </w:rPr>
              <w:fldChar w:fldCharType="begin"/>
            </w:r>
            <w:r w:rsidR="00D72DB6" w:rsidRPr="00D72DB6">
              <w:rPr>
                <w:rStyle w:val="Hyperlink"/>
                <w:rFonts w:ascii="Times New Roman" w:hAnsi="Times New Roman"/>
                <w:noProof/>
                <w:webHidden/>
                <w:color w:val="auto"/>
                <w:sz w:val="24"/>
                <w:szCs w:val="24"/>
              </w:rPr>
              <w:instrText xml:space="preserve"> PAGEREF _Toc507424896 \h </w:instrText>
            </w:r>
            <w:r w:rsidRPr="00D72DB6">
              <w:rPr>
                <w:rStyle w:val="Hyperlink"/>
                <w:rFonts w:ascii="Times New Roman" w:hAnsi="Times New Roman"/>
                <w:noProof/>
                <w:webHidden/>
                <w:color w:val="auto"/>
                <w:sz w:val="24"/>
                <w:szCs w:val="24"/>
              </w:rPr>
            </w:r>
            <w:r w:rsidRPr="00D72DB6">
              <w:rPr>
                <w:rStyle w:val="Hyperlink"/>
                <w:rFonts w:ascii="Times New Roman" w:hAnsi="Times New Roman"/>
                <w:noProof/>
                <w:webHidden/>
                <w:color w:val="auto"/>
                <w:sz w:val="24"/>
                <w:szCs w:val="24"/>
              </w:rPr>
              <w:fldChar w:fldCharType="separate"/>
            </w:r>
            <w:r w:rsidR="00D72DB6" w:rsidRPr="00D72DB6">
              <w:rPr>
                <w:rStyle w:val="Hyperlink"/>
                <w:rFonts w:ascii="Times New Roman" w:hAnsi="Times New Roman"/>
                <w:noProof/>
                <w:webHidden/>
                <w:color w:val="auto"/>
                <w:sz w:val="24"/>
                <w:szCs w:val="24"/>
              </w:rPr>
              <w:t>20</w:t>
            </w:r>
            <w:r w:rsidRPr="00D72DB6">
              <w:rPr>
                <w:rStyle w:val="Hyperlink"/>
                <w:rFonts w:ascii="Times New Roman" w:hAnsi="Times New Roman"/>
                <w:noProof/>
                <w:webHidden/>
                <w:color w:val="auto"/>
                <w:sz w:val="24"/>
                <w:szCs w:val="24"/>
              </w:rPr>
              <w:fldChar w:fldCharType="end"/>
            </w:r>
          </w:hyperlink>
        </w:p>
        <w:p w:rsidR="00D72DB6" w:rsidRPr="00D72DB6" w:rsidRDefault="003C6EA5" w:rsidP="00D72DB6">
          <w:pPr>
            <w:pStyle w:val="TOC2"/>
            <w:rPr>
              <w:rFonts w:ascii="Times New Roman" w:eastAsiaTheme="minorEastAsia" w:hAnsi="Times New Roman"/>
              <w:noProof/>
              <w:sz w:val="24"/>
              <w:szCs w:val="24"/>
              <w:lang w:val="en-US"/>
            </w:rPr>
          </w:pPr>
          <w:hyperlink r:id="rId28" w:anchor="_Toc507424897" w:history="1">
            <w:r w:rsidR="00D72DB6" w:rsidRPr="00D72DB6">
              <w:rPr>
                <w:rStyle w:val="Hyperlink"/>
                <w:rFonts w:ascii="Times New Roman" w:hAnsi="Times New Roman"/>
                <w:bCs/>
                <w:noProof/>
                <w:sz w:val="24"/>
                <w:szCs w:val="24"/>
              </w:rPr>
              <w:t xml:space="preserve">4.2 </w:t>
            </w:r>
            <w:r w:rsidR="00D72DB6" w:rsidRPr="00D72DB6">
              <w:rPr>
                <w:rStyle w:val="Hyperlink"/>
                <w:rFonts w:ascii="Times New Roman" w:hAnsi="Times New Roman"/>
                <w:noProof/>
                <w:sz w:val="24"/>
                <w:szCs w:val="24"/>
              </w:rPr>
              <w:t>Dhënie mendimi për projekt/akte</w:t>
            </w:r>
            <w:r w:rsidR="00D72DB6" w:rsidRPr="00D72DB6">
              <w:rPr>
                <w:rStyle w:val="Hyperlink"/>
                <w:rFonts w:ascii="Times New Roman" w:hAnsi="Times New Roman"/>
                <w:noProof/>
                <w:webHidden/>
                <w:color w:val="auto"/>
                <w:sz w:val="24"/>
                <w:szCs w:val="24"/>
              </w:rPr>
              <w:tab/>
            </w:r>
            <w:r w:rsidRPr="00D72DB6">
              <w:rPr>
                <w:rStyle w:val="Hyperlink"/>
                <w:rFonts w:ascii="Times New Roman" w:hAnsi="Times New Roman"/>
                <w:noProof/>
                <w:webHidden/>
                <w:color w:val="auto"/>
                <w:sz w:val="24"/>
                <w:szCs w:val="24"/>
              </w:rPr>
              <w:fldChar w:fldCharType="begin"/>
            </w:r>
            <w:r w:rsidR="00D72DB6" w:rsidRPr="00D72DB6">
              <w:rPr>
                <w:rStyle w:val="Hyperlink"/>
                <w:rFonts w:ascii="Times New Roman" w:hAnsi="Times New Roman"/>
                <w:noProof/>
                <w:webHidden/>
                <w:color w:val="auto"/>
                <w:sz w:val="24"/>
                <w:szCs w:val="24"/>
              </w:rPr>
              <w:instrText xml:space="preserve"> PAGEREF _Toc507424897 \h </w:instrText>
            </w:r>
            <w:r w:rsidRPr="00D72DB6">
              <w:rPr>
                <w:rStyle w:val="Hyperlink"/>
                <w:rFonts w:ascii="Times New Roman" w:hAnsi="Times New Roman"/>
                <w:noProof/>
                <w:webHidden/>
                <w:color w:val="auto"/>
                <w:sz w:val="24"/>
                <w:szCs w:val="24"/>
              </w:rPr>
            </w:r>
            <w:r w:rsidRPr="00D72DB6">
              <w:rPr>
                <w:rStyle w:val="Hyperlink"/>
                <w:rFonts w:ascii="Times New Roman" w:hAnsi="Times New Roman"/>
                <w:noProof/>
                <w:webHidden/>
                <w:color w:val="auto"/>
                <w:sz w:val="24"/>
                <w:szCs w:val="24"/>
              </w:rPr>
              <w:fldChar w:fldCharType="separate"/>
            </w:r>
            <w:r w:rsidR="00D72DB6" w:rsidRPr="00D72DB6">
              <w:rPr>
                <w:rStyle w:val="Hyperlink"/>
                <w:rFonts w:ascii="Times New Roman" w:hAnsi="Times New Roman"/>
                <w:noProof/>
                <w:webHidden/>
                <w:color w:val="auto"/>
                <w:sz w:val="24"/>
                <w:szCs w:val="24"/>
              </w:rPr>
              <w:t>21</w:t>
            </w:r>
            <w:r w:rsidRPr="00D72DB6">
              <w:rPr>
                <w:rStyle w:val="Hyperlink"/>
                <w:rFonts w:ascii="Times New Roman" w:hAnsi="Times New Roman"/>
                <w:noProof/>
                <w:webHidden/>
                <w:color w:val="auto"/>
                <w:sz w:val="24"/>
                <w:szCs w:val="24"/>
              </w:rPr>
              <w:fldChar w:fldCharType="end"/>
            </w:r>
          </w:hyperlink>
        </w:p>
        <w:p w:rsidR="00D72DB6" w:rsidRPr="00D72DB6" w:rsidRDefault="003C6EA5" w:rsidP="00D72DB6">
          <w:pPr>
            <w:pStyle w:val="TOC2"/>
            <w:rPr>
              <w:rFonts w:ascii="Times New Roman" w:eastAsiaTheme="minorEastAsia" w:hAnsi="Times New Roman"/>
              <w:noProof/>
              <w:sz w:val="24"/>
              <w:szCs w:val="24"/>
              <w:lang w:val="en-US"/>
            </w:rPr>
          </w:pPr>
          <w:hyperlink r:id="rId29" w:anchor="_Toc507424898" w:history="1">
            <w:r w:rsidR="00D72DB6" w:rsidRPr="00D72DB6">
              <w:rPr>
                <w:rStyle w:val="Hyperlink"/>
                <w:rFonts w:ascii="Times New Roman" w:hAnsi="Times New Roman"/>
                <w:noProof/>
                <w:sz w:val="24"/>
                <w:szCs w:val="24"/>
              </w:rPr>
              <w:t>4.3 Detyrime që burojnë nga akte të tjera ligjore</w:t>
            </w:r>
            <w:r w:rsidR="00D72DB6" w:rsidRPr="00D72DB6">
              <w:rPr>
                <w:rStyle w:val="Hyperlink"/>
                <w:rFonts w:ascii="Times New Roman" w:hAnsi="Times New Roman"/>
                <w:noProof/>
                <w:webHidden/>
                <w:color w:val="auto"/>
                <w:sz w:val="24"/>
                <w:szCs w:val="24"/>
              </w:rPr>
              <w:tab/>
            </w:r>
            <w:r w:rsidRPr="00D72DB6">
              <w:rPr>
                <w:rStyle w:val="Hyperlink"/>
                <w:rFonts w:ascii="Times New Roman" w:hAnsi="Times New Roman"/>
                <w:noProof/>
                <w:webHidden/>
                <w:color w:val="auto"/>
                <w:sz w:val="24"/>
                <w:szCs w:val="24"/>
              </w:rPr>
              <w:fldChar w:fldCharType="begin"/>
            </w:r>
            <w:r w:rsidR="00D72DB6" w:rsidRPr="00D72DB6">
              <w:rPr>
                <w:rStyle w:val="Hyperlink"/>
                <w:rFonts w:ascii="Times New Roman" w:hAnsi="Times New Roman"/>
                <w:noProof/>
                <w:webHidden/>
                <w:color w:val="auto"/>
                <w:sz w:val="24"/>
                <w:szCs w:val="24"/>
              </w:rPr>
              <w:instrText xml:space="preserve"> PAGEREF _Toc507424898 \h </w:instrText>
            </w:r>
            <w:r w:rsidRPr="00D72DB6">
              <w:rPr>
                <w:rStyle w:val="Hyperlink"/>
                <w:rFonts w:ascii="Times New Roman" w:hAnsi="Times New Roman"/>
                <w:noProof/>
                <w:webHidden/>
                <w:color w:val="auto"/>
                <w:sz w:val="24"/>
                <w:szCs w:val="24"/>
              </w:rPr>
            </w:r>
            <w:r w:rsidRPr="00D72DB6">
              <w:rPr>
                <w:rStyle w:val="Hyperlink"/>
                <w:rFonts w:ascii="Times New Roman" w:hAnsi="Times New Roman"/>
                <w:noProof/>
                <w:webHidden/>
                <w:color w:val="auto"/>
                <w:sz w:val="24"/>
                <w:szCs w:val="24"/>
              </w:rPr>
              <w:fldChar w:fldCharType="separate"/>
            </w:r>
            <w:r w:rsidR="00D72DB6" w:rsidRPr="00D72DB6">
              <w:rPr>
                <w:rStyle w:val="Hyperlink"/>
                <w:rFonts w:ascii="Times New Roman" w:hAnsi="Times New Roman"/>
                <w:noProof/>
                <w:webHidden/>
                <w:color w:val="auto"/>
                <w:sz w:val="24"/>
                <w:szCs w:val="24"/>
              </w:rPr>
              <w:t>22</w:t>
            </w:r>
            <w:r w:rsidRPr="00D72DB6">
              <w:rPr>
                <w:rStyle w:val="Hyperlink"/>
                <w:rFonts w:ascii="Times New Roman" w:hAnsi="Times New Roman"/>
                <w:noProof/>
                <w:webHidden/>
                <w:color w:val="auto"/>
                <w:sz w:val="24"/>
                <w:szCs w:val="24"/>
              </w:rPr>
              <w:fldChar w:fldCharType="end"/>
            </w:r>
          </w:hyperlink>
        </w:p>
        <w:p w:rsidR="00D72DB6" w:rsidRPr="00D72DB6" w:rsidRDefault="003C6EA5" w:rsidP="00D72DB6">
          <w:pPr>
            <w:pStyle w:val="TOC2"/>
            <w:tabs>
              <w:tab w:val="left" w:pos="880"/>
            </w:tabs>
            <w:rPr>
              <w:rFonts w:ascii="Times New Roman" w:eastAsiaTheme="minorEastAsia" w:hAnsi="Times New Roman"/>
              <w:noProof/>
              <w:sz w:val="24"/>
              <w:szCs w:val="24"/>
              <w:lang w:val="en-US"/>
            </w:rPr>
          </w:pPr>
          <w:hyperlink r:id="rId30" w:anchor="_Toc507424899" w:history="1">
            <w:r w:rsidR="00D72DB6" w:rsidRPr="00D72DB6">
              <w:rPr>
                <w:rStyle w:val="Hyperlink"/>
                <w:rFonts w:ascii="Times New Roman" w:hAnsi="Times New Roman"/>
                <w:noProof/>
                <w:sz w:val="24"/>
                <w:szCs w:val="24"/>
              </w:rPr>
              <w:t>4.4</w:t>
            </w:r>
            <w:r w:rsidR="00D72DB6" w:rsidRPr="00D72DB6">
              <w:rPr>
                <w:rStyle w:val="Hyperlink"/>
                <w:rFonts w:ascii="Times New Roman" w:eastAsiaTheme="minorEastAsia" w:hAnsi="Times New Roman"/>
                <w:noProof/>
                <w:color w:val="auto"/>
                <w:sz w:val="24"/>
                <w:szCs w:val="24"/>
                <w:lang w:val="en-US"/>
              </w:rPr>
              <w:tab/>
            </w:r>
            <w:r w:rsidR="00D72DB6" w:rsidRPr="00D72DB6">
              <w:rPr>
                <w:rStyle w:val="Hyperlink"/>
                <w:rFonts w:ascii="Times New Roman" w:hAnsi="Times New Roman"/>
                <w:noProof/>
                <w:sz w:val="24"/>
                <w:szCs w:val="24"/>
              </w:rPr>
              <w:t>Monitorimi i Fletoreve Zyrtare</w:t>
            </w:r>
            <w:r w:rsidR="00D72DB6" w:rsidRPr="00D72DB6">
              <w:rPr>
                <w:rStyle w:val="Hyperlink"/>
                <w:rFonts w:ascii="Times New Roman" w:hAnsi="Times New Roman"/>
                <w:noProof/>
                <w:webHidden/>
                <w:color w:val="auto"/>
                <w:sz w:val="24"/>
                <w:szCs w:val="24"/>
              </w:rPr>
              <w:tab/>
            </w:r>
            <w:r w:rsidRPr="00D72DB6">
              <w:rPr>
                <w:rStyle w:val="Hyperlink"/>
                <w:rFonts w:ascii="Times New Roman" w:hAnsi="Times New Roman"/>
                <w:noProof/>
                <w:webHidden/>
                <w:color w:val="auto"/>
                <w:sz w:val="24"/>
                <w:szCs w:val="24"/>
              </w:rPr>
              <w:fldChar w:fldCharType="begin"/>
            </w:r>
            <w:r w:rsidR="00D72DB6" w:rsidRPr="00D72DB6">
              <w:rPr>
                <w:rStyle w:val="Hyperlink"/>
                <w:rFonts w:ascii="Times New Roman" w:hAnsi="Times New Roman"/>
                <w:noProof/>
                <w:webHidden/>
                <w:color w:val="auto"/>
                <w:sz w:val="24"/>
                <w:szCs w:val="24"/>
              </w:rPr>
              <w:instrText xml:space="preserve"> PAGEREF _Toc507424899 \h </w:instrText>
            </w:r>
            <w:r w:rsidRPr="00D72DB6">
              <w:rPr>
                <w:rStyle w:val="Hyperlink"/>
                <w:rFonts w:ascii="Times New Roman" w:hAnsi="Times New Roman"/>
                <w:noProof/>
                <w:webHidden/>
                <w:color w:val="auto"/>
                <w:sz w:val="24"/>
                <w:szCs w:val="24"/>
              </w:rPr>
            </w:r>
            <w:r w:rsidRPr="00D72DB6">
              <w:rPr>
                <w:rStyle w:val="Hyperlink"/>
                <w:rFonts w:ascii="Times New Roman" w:hAnsi="Times New Roman"/>
                <w:noProof/>
                <w:webHidden/>
                <w:color w:val="auto"/>
                <w:sz w:val="24"/>
                <w:szCs w:val="24"/>
              </w:rPr>
              <w:fldChar w:fldCharType="separate"/>
            </w:r>
            <w:r w:rsidR="00D72DB6" w:rsidRPr="00D72DB6">
              <w:rPr>
                <w:rStyle w:val="Hyperlink"/>
                <w:rFonts w:ascii="Times New Roman" w:hAnsi="Times New Roman"/>
                <w:noProof/>
                <w:webHidden/>
                <w:color w:val="auto"/>
                <w:sz w:val="24"/>
                <w:szCs w:val="24"/>
              </w:rPr>
              <w:t>23</w:t>
            </w:r>
            <w:r w:rsidRPr="00D72DB6">
              <w:rPr>
                <w:rStyle w:val="Hyperlink"/>
                <w:rFonts w:ascii="Times New Roman" w:hAnsi="Times New Roman"/>
                <w:noProof/>
                <w:webHidden/>
                <w:color w:val="auto"/>
                <w:sz w:val="24"/>
                <w:szCs w:val="24"/>
              </w:rPr>
              <w:fldChar w:fldCharType="end"/>
            </w:r>
          </w:hyperlink>
        </w:p>
        <w:p w:rsidR="00D72DB6" w:rsidRPr="00D72DB6" w:rsidRDefault="003C6EA5" w:rsidP="00D72DB6">
          <w:pPr>
            <w:pStyle w:val="TOC2"/>
            <w:rPr>
              <w:rFonts w:ascii="Times New Roman" w:eastAsiaTheme="minorEastAsia" w:hAnsi="Times New Roman"/>
              <w:noProof/>
              <w:sz w:val="24"/>
              <w:szCs w:val="24"/>
              <w:lang w:val="en-US"/>
            </w:rPr>
          </w:pPr>
          <w:hyperlink r:id="rId31" w:anchor="_Toc507424900" w:history="1">
            <w:r w:rsidR="00D72DB6" w:rsidRPr="00D72DB6">
              <w:rPr>
                <w:rStyle w:val="Hyperlink"/>
                <w:rFonts w:ascii="Times New Roman" w:hAnsi="Times New Roman"/>
                <w:bCs/>
                <w:noProof/>
                <w:sz w:val="24"/>
                <w:szCs w:val="24"/>
              </w:rPr>
              <w:t xml:space="preserve">4.5 </w:t>
            </w:r>
            <w:r w:rsidR="00D72DB6" w:rsidRPr="00D72DB6">
              <w:rPr>
                <w:rStyle w:val="Hyperlink"/>
                <w:rFonts w:ascii="Times New Roman" w:hAnsi="Times New Roman"/>
                <w:noProof/>
                <w:sz w:val="24"/>
                <w:szCs w:val="24"/>
              </w:rPr>
              <w:t>Proceset gjyqësore</w:t>
            </w:r>
            <w:r w:rsidR="00D72DB6" w:rsidRPr="00D72DB6">
              <w:rPr>
                <w:rStyle w:val="Hyperlink"/>
                <w:rFonts w:ascii="Times New Roman" w:hAnsi="Times New Roman"/>
                <w:noProof/>
                <w:webHidden/>
                <w:color w:val="auto"/>
                <w:sz w:val="24"/>
                <w:szCs w:val="24"/>
              </w:rPr>
              <w:tab/>
            </w:r>
            <w:r w:rsidRPr="00D72DB6">
              <w:rPr>
                <w:rStyle w:val="Hyperlink"/>
                <w:rFonts w:ascii="Times New Roman" w:hAnsi="Times New Roman"/>
                <w:noProof/>
                <w:webHidden/>
                <w:color w:val="auto"/>
                <w:sz w:val="24"/>
                <w:szCs w:val="24"/>
              </w:rPr>
              <w:fldChar w:fldCharType="begin"/>
            </w:r>
            <w:r w:rsidR="00D72DB6" w:rsidRPr="00D72DB6">
              <w:rPr>
                <w:rStyle w:val="Hyperlink"/>
                <w:rFonts w:ascii="Times New Roman" w:hAnsi="Times New Roman"/>
                <w:noProof/>
                <w:webHidden/>
                <w:color w:val="auto"/>
                <w:sz w:val="24"/>
                <w:szCs w:val="24"/>
              </w:rPr>
              <w:instrText xml:space="preserve"> PAGEREF _Toc507424900 \h </w:instrText>
            </w:r>
            <w:r w:rsidRPr="00D72DB6">
              <w:rPr>
                <w:rStyle w:val="Hyperlink"/>
                <w:rFonts w:ascii="Times New Roman" w:hAnsi="Times New Roman"/>
                <w:noProof/>
                <w:webHidden/>
                <w:color w:val="auto"/>
                <w:sz w:val="24"/>
                <w:szCs w:val="24"/>
              </w:rPr>
            </w:r>
            <w:r w:rsidRPr="00D72DB6">
              <w:rPr>
                <w:rStyle w:val="Hyperlink"/>
                <w:rFonts w:ascii="Times New Roman" w:hAnsi="Times New Roman"/>
                <w:noProof/>
                <w:webHidden/>
                <w:color w:val="auto"/>
                <w:sz w:val="24"/>
                <w:szCs w:val="24"/>
              </w:rPr>
              <w:fldChar w:fldCharType="separate"/>
            </w:r>
            <w:r w:rsidR="00D72DB6" w:rsidRPr="00D72DB6">
              <w:rPr>
                <w:rStyle w:val="Hyperlink"/>
                <w:rFonts w:ascii="Times New Roman" w:hAnsi="Times New Roman"/>
                <w:noProof/>
                <w:webHidden/>
                <w:color w:val="auto"/>
                <w:sz w:val="24"/>
                <w:szCs w:val="24"/>
              </w:rPr>
              <w:t>23</w:t>
            </w:r>
            <w:r w:rsidRPr="00D72DB6">
              <w:rPr>
                <w:rStyle w:val="Hyperlink"/>
                <w:rFonts w:ascii="Times New Roman" w:hAnsi="Times New Roman"/>
                <w:noProof/>
                <w:webHidden/>
                <w:color w:val="auto"/>
                <w:sz w:val="24"/>
                <w:szCs w:val="24"/>
              </w:rPr>
              <w:fldChar w:fldCharType="end"/>
            </w:r>
          </w:hyperlink>
        </w:p>
        <w:p w:rsidR="00D72DB6" w:rsidRPr="00D72DB6" w:rsidRDefault="003C6EA5" w:rsidP="00D72DB6">
          <w:pPr>
            <w:pStyle w:val="TOC2"/>
            <w:rPr>
              <w:rFonts w:ascii="Times New Roman" w:eastAsiaTheme="minorEastAsia" w:hAnsi="Times New Roman"/>
              <w:noProof/>
              <w:sz w:val="24"/>
              <w:szCs w:val="24"/>
              <w:lang w:val="en-US"/>
            </w:rPr>
          </w:pPr>
          <w:hyperlink r:id="rId32" w:anchor="_Toc507424901" w:history="1">
            <w:r w:rsidR="00D72DB6" w:rsidRPr="00D72DB6">
              <w:rPr>
                <w:rStyle w:val="Hyperlink"/>
                <w:rFonts w:ascii="Times New Roman" w:hAnsi="Times New Roman"/>
                <w:noProof/>
                <w:sz w:val="24"/>
                <w:szCs w:val="24"/>
              </w:rPr>
              <w:t>4.6 Raportime</w:t>
            </w:r>
            <w:r w:rsidR="00D72DB6" w:rsidRPr="00D72DB6">
              <w:rPr>
                <w:rStyle w:val="Hyperlink"/>
                <w:rFonts w:ascii="Times New Roman" w:hAnsi="Times New Roman"/>
                <w:noProof/>
                <w:webHidden/>
                <w:color w:val="auto"/>
                <w:sz w:val="24"/>
                <w:szCs w:val="24"/>
              </w:rPr>
              <w:tab/>
            </w:r>
            <w:r w:rsidRPr="00D72DB6">
              <w:rPr>
                <w:rStyle w:val="Hyperlink"/>
                <w:rFonts w:ascii="Times New Roman" w:hAnsi="Times New Roman"/>
                <w:noProof/>
                <w:webHidden/>
                <w:color w:val="auto"/>
                <w:sz w:val="24"/>
                <w:szCs w:val="24"/>
              </w:rPr>
              <w:fldChar w:fldCharType="begin"/>
            </w:r>
            <w:r w:rsidR="00D72DB6" w:rsidRPr="00D72DB6">
              <w:rPr>
                <w:rStyle w:val="Hyperlink"/>
                <w:rFonts w:ascii="Times New Roman" w:hAnsi="Times New Roman"/>
                <w:noProof/>
                <w:webHidden/>
                <w:color w:val="auto"/>
                <w:sz w:val="24"/>
                <w:szCs w:val="24"/>
              </w:rPr>
              <w:instrText xml:space="preserve"> PAGEREF _Toc507424901 \h </w:instrText>
            </w:r>
            <w:r w:rsidRPr="00D72DB6">
              <w:rPr>
                <w:rStyle w:val="Hyperlink"/>
                <w:rFonts w:ascii="Times New Roman" w:hAnsi="Times New Roman"/>
                <w:noProof/>
                <w:webHidden/>
                <w:color w:val="auto"/>
                <w:sz w:val="24"/>
                <w:szCs w:val="24"/>
              </w:rPr>
            </w:r>
            <w:r w:rsidRPr="00D72DB6">
              <w:rPr>
                <w:rStyle w:val="Hyperlink"/>
                <w:rFonts w:ascii="Times New Roman" w:hAnsi="Times New Roman"/>
                <w:noProof/>
                <w:webHidden/>
                <w:color w:val="auto"/>
                <w:sz w:val="24"/>
                <w:szCs w:val="24"/>
              </w:rPr>
              <w:fldChar w:fldCharType="separate"/>
            </w:r>
            <w:r w:rsidR="00D72DB6" w:rsidRPr="00D72DB6">
              <w:rPr>
                <w:rStyle w:val="Hyperlink"/>
                <w:rFonts w:ascii="Times New Roman" w:hAnsi="Times New Roman"/>
                <w:noProof/>
                <w:webHidden/>
                <w:color w:val="auto"/>
                <w:sz w:val="24"/>
                <w:szCs w:val="24"/>
              </w:rPr>
              <w:t>25</w:t>
            </w:r>
            <w:r w:rsidRPr="00D72DB6">
              <w:rPr>
                <w:rStyle w:val="Hyperlink"/>
                <w:rFonts w:ascii="Times New Roman" w:hAnsi="Times New Roman"/>
                <w:noProof/>
                <w:webHidden/>
                <w:color w:val="auto"/>
                <w:sz w:val="24"/>
                <w:szCs w:val="24"/>
              </w:rPr>
              <w:fldChar w:fldCharType="end"/>
            </w:r>
          </w:hyperlink>
        </w:p>
        <w:p w:rsidR="00D72DB6" w:rsidRPr="00D72DB6" w:rsidRDefault="003C6EA5" w:rsidP="00D72DB6">
          <w:pPr>
            <w:pStyle w:val="TOC1"/>
            <w:rPr>
              <w:rFonts w:ascii="Times New Roman" w:eastAsiaTheme="minorEastAsia" w:hAnsi="Times New Roman"/>
              <w:noProof/>
              <w:sz w:val="24"/>
              <w:szCs w:val="24"/>
              <w:lang w:val="en-US"/>
            </w:rPr>
          </w:pPr>
          <w:hyperlink r:id="rId33" w:anchor="_Toc507424902" w:history="1">
            <w:r w:rsidR="00D72DB6" w:rsidRPr="00D72DB6">
              <w:rPr>
                <w:rStyle w:val="Hyperlink"/>
                <w:rFonts w:ascii="Times New Roman" w:hAnsi="Times New Roman"/>
                <w:b/>
                <w:noProof/>
                <w:sz w:val="24"/>
                <w:szCs w:val="24"/>
              </w:rPr>
              <w:t>5. TRAJTIMI I ANKESAVE SIPAS LIGJIT NR. 146/2014 “PËR NJOFTIMIN DHE KONSULTIMIN PUBLIK”</w:t>
            </w:r>
            <w:r w:rsidR="00D72DB6" w:rsidRPr="00D72DB6">
              <w:rPr>
                <w:rStyle w:val="Hyperlink"/>
                <w:rFonts w:ascii="Times New Roman" w:hAnsi="Times New Roman"/>
                <w:noProof/>
                <w:webHidden/>
                <w:color w:val="auto"/>
                <w:sz w:val="24"/>
                <w:szCs w:val="24"/>
              </w:rPr>
              <w:tab/>
            </w:r>
            <w:r w:rsidRPr="00D72DB6">
              <w:rPr>
                <w:rStyle w:val="Hyperlink"/>
                <w:rFonts w:ascii="Times New Roman" w:hAnsi="Times New Roman"/>
                <w:noProof/>
                <w:webHidden/>
                <w:color w:val="auto"/>
                <w:sz w:val="24"/>
                <w:szCs w:val="24"/>
              </w:rPr>
              <w:fldChar w:fldCharType="begin"/>
            </w:r>
            <w:r w:rsidR="00D72DB6" w:rsidRPr="00D72DB6">
              <w:rPr>
                <w:rStyle w:val="Hyperlink"/>
                <w:rFonts w:ascii="Times New Roman" w:hAnsi="Times New Roman"/>
                <w:noProof/>
                <w:webHidden/>
                <w:color w:val="auto"/>
                <w:sz w:val="24"/>
                <w:szCs w:val="24"/>
              </w:rPr>
              <w:instrText xml:space="preserve"> PAGEREF _Toc507424902 \h </w:instrText>
            </w:r>
            <w:r w:rsidRPr="00D72DB6">
              <w:rPr>
                <w:rStyle w:val="Hyperlink"/>
                <w:rFonts w:ascii="Times New Roman" w:hAnsi="Times New Roman"/>
                <w:noProof/>
                <w:webHidden/>
                <w:color w:val="auto"/>
                <w:sz w:val="24"/>
                <w:szCs w:val="24"/>
              </w:rPr>
            </w:r>
            <w:r w:rsidRPr="00D72DB6">
              <w:rPr>
                <w:rStyle w:val="Hyperlink"/>
                <w:rFonts w:ascii="Times New Roman" w:hAnsi="Times New Roman"/>
                <w:noProof/>
                <w:webHidden/>
                <w:color w:val="auto"/>
                <w:sz w:val="24"/>
                <w:szCs w:val="24"/>
              </w:rPr>
              <w:fldChar w:fldCharType="separate"/>
            </w:r>
            <w:r w:rsidR="00D72DB6" w:rsidRPr="00D72DB6">
              <w:rPr>
                <w:rStyle w:val="Hyperlink"/>
                <w:rFonts w:ascii="Times New Roman" w:hAnsi="Times New Roman"/>
                <w:noProof/>
                <w:webHidden/>
                <w:color w:val="auto"/>
                <w:sz w:val="24"/>
                <w:szCs w:val="24"/>
              </w:rPr>
              <w:t>26</w:t>
            </w:r>
            <w:r w:rsidRPr="00D72DB6">
              <w:rPr>
                <w:rStyle w:val="Hyperlink"/>
                <w:rFonts w:ascii="Times New Roman" w:hAnsi="Times New Roman"/>
                <w:noProof/>
                <w:webHidden/>
                <w:color w:val="auto"/>
                <w:sz w:val="24"/>
                <w:szCs w:val="24"/>
              </w:rPr>
              <w:fldChar w:fldCharType="end"/>
            </w:r>
          </w:hyperlink>
        </w:p>
        <w:p w:rsidR="00D72DB6" w:rsidRPr="00D72DB6" w:rsidRDefault="003C6EA5" w:rsidP="00D72DB6">
          <w:pPr>
            <w:pStyle w:val="TOC1"/>
            <w:rPr>
              <w:rFonts w:ascii="Times New Roman" w:eastAsiaTheme="minorEastAsia" w:hAnsi="Times New Roman"/>
              <w:noProof/>
              <w:sz w:val="24"/>
              <w:szCs w:val="24"/>
              <w:lang w:val="en-US"/>
            </w:rPr>
          </w:pPr>
          <w:hyperlink r:id="rId34" w:anchor="_Toc507424903" w:history="1">
            <w:r w:rsidR="00D72DB6" w:rsidRPr="00D72DB6">
              <w:rPr>
                <w:rStyle w:val="Hyperlink"/>
                <w:rFonts w:ascii="Times New Roman" w:hAnsi="Times New Roman"/>
                <w:b/>
                <w:noProof/>
                <w:sz w:val="24"/>
                <w:szCs w:val="24"/>
              </w:rPr>
              <w:t>6.</w:t>
            </w:r>
            <w:r w:rsidR="00D72DB6" w:rsidRPr="00D72DB6">
              <w:rPr>
                <w:rStyle w:val="Hyperlink"/>
                <w:rFonts w:ascii="Times New Roman" w:eastAsiaTheme="minorEastAsia" w:hAnsi="Times New Roman"/>
                <w:noProof/>
                <w:color w:val="auto"/>
                <w:sz w:val="24"/>
                <w:szCs w:val="24"/>
                <w:lang w:val="en-US"/>
              </w:rPr>
              <w:tab/>
            </w:r>
            <w:r w:rsidR="00D72DB6" w:rsidRPr="00D72DB6">
              <w:rPr>
                <w:rStyle w:val="Hyperlink"/>
                <w:rFonts w:ascii="Times New Roman" w:hAnsi="Times New Roman"/>
                <w:b/>
                <w:noProof/>
                <w:sz w:val="24"/>
                <w:szCs w:val="24"/>
              </w:rPr>
              <w:t>NDËRGJEGJËSIMI DHE PROMOVIMI I TË DREJTËS PËR INFORMIM DHE MBROJTJEN E TË DHËNAVE PERSONALE</w:t>
            </w:r>
            <w:r w:rsidR="00D72DB6" w:rsidRPr="00D72DB6">
              <w:rPr>
                <w:rStyle w:val="Hyperlink"/>
                <w:rFonts w:ascii="Times New Roman" w:hAnsi="Times New Roman"/>
                <w:noProof/>
                <w:webHidden/>
                <w:color w:val="auto"/>
                <w:sz w:val="24"/>
                <w:szCs w:val="24"/>
              </w:rPr>
              <w:tab/>
            </w:r>
            <w:r w:rsidRPr="00D72DB6">
              <w:rPr>
                <w:rStyle w:val="Hyperlink"/>
                <w:rFonts w:ascii="Times New Roman" w:hAnsi="Times New Roman"/>
                <w:noProof/>
                <w:webHidden/>
                <w:color w:val="auto"/>
                <w:sz w:val="24"/>
                <w:szCs w:val="24"/>
              </w:rPr>
              <w:fldChar w:fldCharType="begin"/>
            </w:r>
            <w:r w:rsidR="00D72DB6" w:rsidRPr="00D72DB6">
              <w:rPr>
                <w:rStyle w:val="Hyperlink"/>
                <w:rFonts w:ascii="Times New Roman" w:hAnsi="Times New Roman"/>
                <w:noProof/>
                <w:webHidden/>
                <w:color w:val="auto"/>
                <w:sz w:val="24"/>
                <w:szCs w:val="24"/>
              </w:rPr>
              <w:instrText xml:space="preserve"> PAGEREF _Toc507424903 \h </w:instrText>
            </w:r>
            <w:r w:rsidRPr="00D72DB6">
              <w:rPr>
                <w:rStyle w:val="Hyperlink"/>
                <w:rFonts w:ascii="Times New Roman" w:hAnsi="Times New Roman"/>
                <w:noProof/>
                <w:webHidden/>
                <w:color w:val="auto"/>
                <w:sz w:val="24"/>
                <w:szCs w:val="24"/>
              </w:rPr>
            </w:r>
            <w:r w:rsidRPr="00D72DB6">
              <w:rPr>
                <w:rStyle w:val="Hyperlink"/>
                <w:rFonts w:ascii="Times New Roman" w:hAnsi="Times New Roman"/>
                <w:noProof/>
                <w:webHidden/>
                <w:color w:val="auto"/>
                <w:sz w:val="24"/>
                <w:szCs w:val="24"/>
              </w:rPr>
              <w:fldChar w:fldCharType="separate"/>
            </w:r>
            <w:r w:rsidR="00D72DB6" w:rsidRPr="00D72DB6">
              <w:rPr>
                <w:rStyle w:val="Hyperlink"/>
                <w:rFonts w:ascii="Times New Roman" w:hAnsi="Times New Roman"/>
                <w:noProof/>
                <w:webHidden/>
                <w:color w:val="auto"/>
                <w:sz w:val="24"/>
                <w:szCs w:val="24"/>
              </w:rPr>
              <w:t>27</w:t>
            </w:r>
            <w:r w:rsidRPr="00D72DB6">
              <w:rPr>
                <w:rStyle w:val="Hyperlink"/>
                <w:rFonts w:ascii="Times New Roman" w:hAnsi="Times New Roman"/>
                <w:noProof/>
                <w:webHidden/>
                <w:color w:val="auto"/>
                <w:sz w:val="24"/>
                <w:szCs w:val="24"/>
              </w:rPr>
              <w:fldChar w:fldCharType="end"/>
            </w:r>
          </w:hyperlink>
        </w:p>
        <w:p w:rsidR="00D72DB6" w:rsidRPr="00D72DB6" w:rsidRDefault="003C6EA5" w:rsidP="00D72DB6">
          <w:pPr>
            <w:pStyle w:val="TOC1"/>
            <w:rPr>
              <w:rFonts w:ascii="Times New Roman" w:eastAsiaTheme="minorEastAsia" w:hAnsi="Times New Roman"/>
              <w:noProof/>
              <w:sz w:val="24"/>
              <w:szCs w:val="24"/>
              <w:lang w:val="en-US"/>
            </w:rPr>
          </w:pPr>
          <w:hyperlink r:id="rId35" w:anchor="_Toc507424904" w:history="1">
            <w:r w:rsidR="00D72DB6" w:rsidRPr="00D72DB6">
              <w:rPr>
                <w:rStyle w:val="Hyperlink"/>
                <w:rFonts w:ascii="Times New Roman" w:hAnsi="Times New Roman"/>
                <w:b/>
                <w:noProof/>
                <w:sz w:val="24"/>
                <w:szCs w:val="24"/>
              </w:rPr>
              <w:t>7.</w:t>
            </w:r>
            <w:r w:rsidR="00D72DB6" w:rsidRPr="00D72DB6">
              <w:rPr>
                <w:rStyle w:val="Hyperlink"/>
                <w:rFonts w:ascii="Times New Roman" w:eastAsiaTheme="minorEastAsia" w:hAnsi="Times New Roman"/>
                <w:noProof/>
                <w:color w:val="auto"/>
                <w:sz w:val="24"/>
                <w:szCs w:val="24"/>
                <w:lang w:val="en-US"/>
              </w:rPr>
              <w:tab/>
            </w:r>
            <w:r w:rsidR="00D72DB6" w:rsidRPr="00D72DB6">
              <w:rPr>
                <w:rStyle w:val="Hyperlink"/>
                <w:rFonts w:ascii="Times New Roman" w:hAnsi="Times New Roman"/>
                <w:b/>
                <w:noProof/>
                <w:sz w:val="24"/>
                <w:szCs w:val="24"/>
              </w:rPr>
              <w:t>VEPRIMTARIA NDËRKOMBËTARE</w:t>
            </w:r>
            <w:r w:rsidR="00D72DB6" w:rsidRPr="00D72DB6">
              <w:rPr>
                <w:rStyle w:val="Hyperlink"/>
                <w:rFonts w:ascii="Times New Roman" w:hAnsi="Times New Roman"/>
                <w:noProof/>
                <w:webHidden/>
                <w:color w:val="auto"/>
                <w:sz w:val="24"/>
                <w:szCs w:val="24"/>
              </w:rPr>
              <w:tab/>
            </w:r>
            <w:r w:rsidRPr="00D72DB6">
              <w:rPr>
                <w:rStyle w:val="Hyperlink"/>
                <w:rFonts w:ascii="Times New Roman" w:hAnsi="Times New Roman"/>
                <w:noProof/>
                <w:webHidden/>
                <w:color w:val="auto"/>
                <w:sz w:val="24"/>
                <w:szCs w:val="24"/>
              </w:rPr>
              <w:fldChar w:fldCharType="begin"/>
            </w:r>
            <w:r w:rsidR="00D72DB6" w:rsidRPr="00D72DB6">
              <w:rPr>
                <w:rStyle w:val="Hyperlink"/>
                <w:rFonts w:ascii="Times New Roman" w:hAnsi="Times New Roman"/>
                <w:noProof/>
                <w:webHidden/>
                <w:color w:val="auto"/>
                <w:sz w:val="24"/>
                <w:szCs w:val="24"/>
              </w:rPr>
              <w:instrText xml:space="preserve"> PAGEREF _Toc507424904 \h </w:instrText>
            </w:r>
            <w:r w:rsidRPr="00D72DB6">
              <w:rPr>
                <w:rStyle w:val="Hyperlink"/>
                <w:rFonts w:ascii="Times New Roman" w:hAnsi="Times New Roman"/>
                <w:noProof/>
                <w:webHidden/>
                <w:color w:val="auto"/>
                <w:sz w:val="24"/>
                <w:szCs w:val="24"/>
              </w:rPr>
            </w:r>
            <w:r w:rsidRPr="00D72DB6">
              <w:rPr>
                <w:rStyle w:val="Hyperlink"/>
                <w:rFonts w:ascii="Times New Roman" w:hAnsi="Times New Roman"/>
                <w:noProof/>
                <w:webHidden/>
                <w:color w:val="auto"/>
                <w:sz w:val="24"/>
                <w:szCs w:val="24"/>
              </w:rPr>
              <w:fldChar w:fldCharType="separate"/>
            </w:r>
            <w:r w:rsidR="00D72DB6" w:rsidRPr="00D72DB6">
              <w:rPr>
                <w:rStyle w:val="Hyperlink"/>
                <w:rFonts w:ascii="Times New Roman" w:hAnsi="Times New Roman"/>
                <w:noProof/>
                <w:webHidden/>
                <w:color w:val="auto"/>
                <w:sz w:val="24"/>
                <w:szCs w:val="24"/>
              </w:rPr>
              <w:t>31</w:t>
            </w:r>
            <w:r w:rsidRPr="00D72DB6">
              <w:rPr>
                <w:rStyle w:val="Hyperlink"/>
                <w:rFonts w:ascii="Times New Roman" w:hAnsi="Times New Roman"/>
                <w:noProof/>
                <w:webHidden/>
                <w:color w:val="auto"/>
                <w:sz w:val="24"/>
                <w:szCs w:val="24"/>
              </w:rPr>
              <w:fldChar w:fldCharType="end"/>
            </w:r>
          </w:hyperlink>
        </w:p>
        <w:p w:rsidR="00D72DB6" w:rsidRPr="00D72DB6" w:rsidRDefault="003C6EA5" w:rsidP="00D72DB6">
          <w:pPr>
            <w:pStyle w:val="TOC1"/>
            <w:rPr>
              <w:rFonts w:ascii="Times New Roman" w:eastAsiaTheme="minorEastAsia" w:hAnsi="Times New Roman"/>
              <w:noProof/>
              <w:sz w:val="24"/>
              <w:szCs w:val="24"/>
              <w:lang w:val="en-US"/>
            </w:rPr>
          </w:pPr>
          <w:hyperlink r:id="rId36" w:anchor="_Toc507424905" w:history="1">
            <w:r w:rsidR="00D72DB6" w:rsidRPr="00D72DB6">
              <w:rPr>
                <w:rStyle w:val="Hyperlink"/>
                <w:rFonts w:ascii="Times New Roman" w:hAnsi="Times New Roman"/>
                <w:b/>
                <w:noProof/>
                <w:sz w:val="24"/>
                <w:szCs w:val="24"/>
              </w:rPr>
              <w:t>8.</w:t>
            </w:r>
            <w:r w:rsidR="00D72DB6" w:rsidRPr="00D72DB6">
              <w:rPr>
                <w:rStyle w:val="Hyperlink"/>
                <w:rFonts w:ascii="Times New Roman" w:eastAsiaTheme="minorEastAsia" w:hAnsi="Times New Roman"/>
                <w:noProof/>
                <w:color w:val="auto"/>
                <w:sz w:val="24"/>
                <w:szCs w:val="24"/>
                <w:lang w:val="en-US"/>
              </w:rPr>
              <w:tab/>
            </w:r>
            <w:r w:rsidR="00D72DB6" w:rsidRPr="00D72DB6">
              <w:rPr>
                <w:rStyle w:val="Hyperlink"/>
                <w:rFonts w:ascii="Times New Roman" w:hAnsi="Times New Roman"/>
                <w:b/>
                <w:noProof/>
                <w:sz w:val="24"/>
                <w:szCs w:val="24"/>
                <w:shd w:val="clear" w:color="auto" w:fill="FFFFFF"/>
              </w:rPr>
              <w:t>MENAXHIMI BUXHETOR</w:t>
            </w:r>
            <w:r w:rsidR="00D72DB6" w:rsidRPr="00D72DB6">
              <w:rPr>
                <w:rStyle w:val="Hyperlink"/>
                <w:rFonts w:ascii="Times New Roman" w:hAnsi="Times New Roman"/>
                <w:noProof/>
                <w:webHidden/>
                <w:color w:val="auto"/>
                <w:sz w:val="24"/>
                <w:szCs w:val="24"/>
              </w:rPr>
              <w:tab/>
            </w:r>
            <w:r w:rsidRPr="00D72DB6">
              <w:rPr>
                <w:rStyle w:val="Hyperlink"/>
                <w:rFonts w:ascii="Times New Roman" w:hAnsi="Times New Roman"/>
                <w:noProof/>
                <w:webHidden/>
                <w:color w:val="auto"/>
                <w:sz w:val="24"/>
                <w:szCs w:val="24"/>
              </w:rPr>
              <w:fldChar w:fldCharType="begin"/>
            </w:r>
            <w:r w:rsidR="00D72DB6" w:rsidRPr="00D72DB6">
              <w:rPr>
                <w:rStyle w:val="Hyperlink"/>
                <w:rFonts w:ascii="Times New Roman" w:hAnsi="Times New Roman"/>
                <w:noProof/>
                <w:webHidden/>
                <w:color w:val="auto"/>
                <w:sz w:val="24"/>
                <w:szCs w:val="24"/>
              </w:rPr>
              <w:instrText xml:space="preserve"> PAGEREF _Toc507424905 \h </w:instrText>
            </w:r>
            <w:r w:rsidRPr="00D72DB6">
              <w:rPr>
                <w:rStyle w:val="Hyperlink"/>
                <w:rFonts w:ascii="Times New Roman" w:hAnsi="Times New Roman"/>
                <w:noProof/>
                <w:webHidden/>
                <w:color w:val="auto"/>
                <w:sz w:val="24"/>
                <w:szCs w:val="24"/>
              </w:rPr>
            </w:r>
            <w:r w:rsidRPr="00D72DB6">
              <w:rPr>
                <w:rStyle w:val="Hyperlink"/>
                <w:rFonts w:ascii="Times New Roman" w:hAnsi="Times New Roman"/>
                <w:noProof/>
                <w:webHidden/>
                <w:color w:val="auto"/>
                <w:sz w:val="24"/>
                <w:szCs w:val="24"/>
              </w:rPr>
              <w:fldChar w:fldCharType="separate"/>
            </w:r>
            <w:r w:rsidR="00D72DB6" w:rsidRPr="00D72DB6">
              <w:rPr>
                <w:rStyle w:val="Hyperlink"/>
                <w:rFonts w:ascii="Times New Roman" w:hAnsi="Times New Roman"/>
                <w:noProof/>
                <w:webHidden/>
                <w:color w:val="auto"/>
                <w:sz w:val="24"/>
                <w:szCs w:val="24"/>
              </w:rPr>
              <w:t>33</w:t>
            </w:r>
            <w:r w:rsidRPr="00D72DB6">
              <w:rPr>
                <w:rStyle w:val="Hyperlink"/>
                <w:rFonts w:ascii="Times New Roman" w:hAnsi="Times New Roman"/>
                <w:noProof/>
                <w:webHidden/>
                <w:color w:val="auto"/>
                <w:sz w:val="24"/>
                <w:szCs w:val="24"/>
              </w:rPr>
              <w:fldChar w:fldCharType="end"/>
            </w:r>
          </w:hyperlink>
        </w:p>
        <w:p w:rsidR="00D72DB6" w:rsidRPr="00D72DB6" w:rsidRDefault="003C6EA5" w:rsidP="00D72DB6">
          <w:pPr>
            <w:pStyle w:val="TOC1"/>
            <w:rPr>
              <w:rFonts w:ascii="Times New Roman" w:eastAsiaTheme="minorEastAsia" w:hAnsi="Times New Roman"/>
              <w:noProof/>
              <w:sz w:val="24"/>
              <w:szCs w:val="24"/>
              <w:lang w:val="en-US"/>
            </w:rPr>
          </w:pPr>
          <w:hyperlink r:id="rId37" w:anchor="_Toc507424906" w:history="1">
            <w:r w:rsidR="00D72DB6" w:rsidRPr="00D72DB6">
              <w:rPr>
                <w:rStyle w:val="Hyperlink"/>
                <w:rFonts w:ascii="Times New Roman" w:hAnsi="Times New Roman"/>
                <w:b/>
                <w:noProof/>
                <w:sz w:val="24"/>
                <w:szCs w:val="24"/>
              </w:rPr>
              <w:t>9. PROBLEMATIKAT PËR VITIN 2017</w:t>
            </w:r>
            <w:r w:rsidR="00D72DB6" w:rsidRPr="00D72DB6">
              <w:rPr>
                <w:rStyle w:val="Hyperlink"/>
                <w:rFonts w:ascii="Times New Roman" w:hAnsi="Times New Roman"/>
                <w:noProof/>
                <w:webHidden/>
                <w:color w:val="auto"/>
                <w:sz w:val="24"/>
                <w:szCs w:val="24"/>
              </w:rPr>
              <w:tab/>
            </w:r>
            <w:r w:rsidRPr="00D72DB6">
              <w:rPr>
                <w:rStyle w:val="Hyperlink"/>
                <w:rFonts w:ascii="Times New Roman" w:hAnsi="Times New Roman"/>
                <w:noProof/>
                <w:webHidden/>
                <w:color w:val="auto"/>
                <w:sz w:val="24"/>
                <w:szCs w:val="24"/>
              </w:rPr>
              <w:fldChar w:fldCharType="begin"/>
            </w:r>
            <w:r w:rsidR="00D72DB6" w:rsidRPr="00D72DB6">
              <w:rPr>
                <w:rStyle w:val="Hyperlink"/>
                <w:rFonts w:ascii="Times New Roman" w:hAnsi="Times New Roman"/>
                <w:noProof/>
                <w:webHidden/>
                <w:color w:val="auto"/>
                <w:sz w:val="24"/>
                <w:szCs w:val="24"/>
              </w:rPr>
              <w:instrText xml:space="preserve"> PAGEREF _Toc507424906 \h </w:instrText>
            </w:r>
            <w:r w:rsidRPr="00D72DB6">
              <w:rPr>
                <w:rStyle w:val="Hyperlink"/>
                <w:rFonts w:ascii="Times New Roman" w:hAnsi="Times New Roman"/>
                <w:noProof/>
                <w:webHidden/>
                <w:color w:val="auto"/>
                <w:sz w:val="24"/>
                <w:szCs w:val="24"/>
              </w:rPr>
            </w:r>
            <w:r w:rsidRPr="00D72DB6">
              <w:rPr>
                <w:rStyle w:val="Hyperlink"/>
                <w:rFonts w:ascii="Times New Roman" w:hAnsi="Times New Roman"/>
                <w:noProof/>
                <w:webHidden/>
                <w:color w:val="auto"/>
                <w:sz w:val="24"/>
                <w:szCs w:val="24"/>
              </w:rPr>
              <w:fldChar w:fldCharType="separate"/>
            </w:r>
            <w:r w:rsidR="00D72DB6" w:rsidRPr="00D72DB6">
              <w:rPr>
                <w:rStyle w:val="Hyperlink"/>
                <w:rFonts w:ascii="Times New Roman" w:hAnsi="Times New Roman"/>
                <w:noProof/>
                <w:webHidden/>
                <w:color w:val="auto"/>
                <w:sz w:val="24"/>
                <w:szCs w:val="24"/>
              </w:rPr>
              <w:t>36</w:t>
            </w:r>
            <w:r w:rsidRPr="00D72DB6">
              <w:rPr>
                <w:rStyle w:val="Hyperlink"/>
                <w:rFonts w:ascii="Times New Roman" w:hAnsi="Times New Roman"/>
                <w:noProof/>
                <w:webHidden/>
                <w:color w:val="auto"/>
                <w:sz w:val="24"/>
                <w:szCs w:val="24"/>
              </w:rPr>
              <w:fldChar w:fldCharType="end"/>
            </w:r>
          </w:hyperlink>
        </w:p>
        <w:p w:rsidR="00D72DB6" w:rsidRPr="00D72DB6" w:rsidRDefault="003C6EA5" w:rsidP="00D72DB6">
          <w:pPr>
            <w:pStyle w:val="TOC1"/>
            <w:rPr>
              <w:rFonts w:ascii="Times New Roman" w:eastAsiaTheme="minorEastAsia" w:hAnsi="Times New Roman"/>
              <w:noProof/>
              <w:sz w:val="24"/>
              <w:szCs w:val="24"/>
              <w:lang w:val="en-US"/>
            </w:rPr>
          </w:pPr>
          <w:hyperlink r:id="rId38" w:anchor="_Toc507424907" w:history="1">
            <w:r w:rsidR="00D72DB6" w:rsidRPr="00D72DB6">
              <w:rPr>
                <w:rStyle w:val="Hyperlink"/>
                <w:rFonts w:ascii="Times New Roman" w:hAnsi="Times New Roman"/>
                <w:b/>
                <w:noProof/>
                <w:sz w:val="24"/>
                <w:szCs w:val="24"/>
              </w:rPr>
              <w:t>10. PRIORITETET PËR VITIN 2018</w:t>
            </w:r>
            <w:r w:rsidR="00D72DB6" w:rsidRPr="00D72DB6">
              <w:rPr>
                <w:rStyle w:val="Hyperlink"/>
                <w:rFonts w:ascii="Times New Roman" w:hAnsi="Times New Roman"/>
                <w:noProof/>
                <w:webHidden/>
                <w:color w:val="auto"/>
                <w:sz w:val="24"/>
                <w:szCs w:val="24"/>
              </w:rPr>
              <w:tab/>
            </w:r>
            <w:r w:rsidRPr="00D72DB6">
              <w:rPr>
                <w:rStyle w:val="Hyperlink"/>
                <w:rFonts w:ascii="Times New Roman" w:hAnsi="Times New Roman"/>
                <w:noProof/>
                <w:webHidden/>
                <w:color w:val="auto"/>
                <w:sz w:val="24"/>
                <w:szCs w:val="24"/>
              </w:rPr>
              <w:fldChar w:fldCharType="begin"/>
            </w:r>
            <w:r w:rsidR="00D72DB6" w:rsidRPr="00D72DB6">
              <w:rPr>
                <w:rStyle w:val="Hyperlink"/>
                <w:rFonts w:ascii="Times New Roman" w:hAnsi="Times New Roman"/>
                <w:noProof/>
                <w:webHidden/>
                <w:color w:val="auto"/>
                <w:sz w:val="24"/>
                <w:szCs w:val="24"/>
              </w:rPr>
              <w:instrText xml:space="preserve"> PAGEREF _Toc507424907 \h </w:instrText>
            </w:r>
            <w:r w:rsidRPr="00D72DB6">
              <w:rPr>
                <w:rStyle w:val="Hyperlink"/>
                <w:rFonts w:ascii="Times New Roman" w:hAnsi="Times New Roman"/>
                <w:noProof/>
                <w:webHidden/>
                <w:color w:val="auto"/>
                <w:sz w:val="24"/>
                <w:szCs w:val="24"/>
              </w:rPr>
            </w:r>
            <w:r w:rsidRPr="00D72DB6">
              <w:rPr>
                <w:rStyle w:val="Hyperlink"/>
                <w:rFonts w:ascii="Times New Roman" w:hAnsi="Times New Roman"/>
                <w:noProof/>
                <w:webHidden/>
                <w:color w:val="auto"/>
                <w:sz w:val="24"/>
                <w:szCs w:val="24"/>
              </w:rPr>
              <w:fldChar w:fldCharType="separate"/>
            </w:r>
            <w:r w:rsidR="00D72DB6" w:rsidRPr="00D72DB6">
              <w:rPr>
                <w:rStyle w:val="Hyperlink"/>
                <w:rFonts w:ascii="Times New Roman" w:hAnsi="Times New Roman"/>
                <w:noProof/>
                <w:webHidden/>
                <w:color w:val="auto"/>
                <w:sz w:val="24"/>
                <w:szCs w:val="24"/>
              </w:rPr>
              <w:t>37</w:t>
            </w:r>
            <w:r w:rsidRPr="00D72DB6">
              <w:rPr>
                <w:rStyle w:val="Hyperlink"/>
                <w:rFonts w:ascii="Times New Roman" w:hAnsi="Times New Roman"/>
                <w:noProof/>
                <w:webHidden/>
                <w:color w:val="auto"/>
                <w:sz w:val="24"/>
                <w:szCs w:val="24"/>
              </w:rPr>
              <w:fldChar w:fldCharType="end"/>
            </w:r>
          </w:hyperlink>
        </w:p>
        <w:p w:rsidR="00D72DB6" w:rsidRPr="00D72DB6" w:rsidRDefault="003C6EA5" w:rsidP="00D72DB6">
          <w:pPr>
            <w:pStyle w:val="TOC1"/>
            <w:rPr>
              <w:rFonts w:ascii="Times New Roman" w:eastAsiaTheme="minorEastAsia" w:hAnsi="Times New Roman"/>
              <w:noProof/>
              <w:sz w:val="24"/>
              <w:szCs w:val="24"/>
              <w:lang w:val="en-US"/>
            </w:rPr>
          </w:pPr>
          <w:hyperlink r:id="rId39" w:anchor="_Toc507424908" w:history="1">
            <w:r w:rsidR="00D72DB6" w:rsidRPr="00D72DB6">
              <w:rPr>
                <w:rStyle w:val="Hyperlink"/>
                <w:rFonts w:ascii="Times New Roman" w:hAnsi="Times New Roman"/>
                <w:b/>
                <w:noProof/>
                <w:sz w:val="24"/>
                <w:szCs w:val="24"/>
              </w:rPr>
              <w:t>ANEKSI 1</w:t>
            </w:r>
            <w:r w:rsidR="00D72DB6" w:rsidRPr="00D72DB6">
              <w:rPr>
                <w:rStyle w:val="Hyperlink"/>
                <w:rFonts w:ascii="Times New Roman" w:hAnsi="Times New Roman"/>
                <w:noProof/>
                <w:webHidden/>
                <w:color w:val="auto"/>
                <w:sz w:val="24"/>
                <w:szCs w:val="24"/>
              </w:rPr>
              <w:tab/>
            </w:r>
            <w:r w:rsidRPr="00D72DB6">
              <w:rPr>
                <w:rStyle w:val="Hyperlink"/>
                <w:rFonts w:ascii="Times New Roman" w:hAnsi="Times New Roman"/>
                <w:noProof/>
                <w:webHidden/>
                <w:color w:val="auto"/>
                <w:sz w:val="24"/>
                <w:szCs w:val="24"/>
              </w:rPr>
              <w:fldChar w:fldCharType="begin"/>
            </w:r>
            <w:r w:rsidR="00D72DB6" w:rsidRPr="00D72DB6">
              <w:rPr>
                <w:rStyle w:val="Hyperlink"/>
                <w:rFonts w:ascii="Times New Roman" w:hAnsi="Times New Roman"/>
                <w:noProof/>
                <w:webHidden/>
                <w:color w:val="auto"/>
                <w:sz w:val="24"/>
                <w:szCs w:val="24"/>
              </w:rPr>
              <w:instrText xml:space="preserve"> PAGEREF _Toc507424908 \h </w:instrText>
            </w:r>
            <w:r w:rsidRPr="00D72DB6">
              <w:rPr>
                <w:rStyle w:val="Hyperlink"/>
                <w:rFonts w:ascii="Times New Roman" w:hAnsi="Times New Roman"/>
                <w:noProof/>
                <w:webHidden/>
                <w:color w:val="auto"/>
                <w:sz w:val="24"/>
                <w:szCs w:val="24"/>
              </w:rPr>
            </w:r>
            <w:r w:rsidRPr="00D72DB6">
              <w:rPr>
                <w:rStyle w:val="Hyperlink"/>
                <w:rFonts w:ascii="Times New Roman" w:hAnsi="Times New Roman"/>
                <w:noProof/>
                <w:webHidden/>
                <w:color w:val="auto"/>
                <w:sz w:val="24"/>
                <w:szCs w:val="24"/>
              </w:rPr>
              <w:fldChar w:fldCharType="separate"/>
            </w:r>
            <w:r w:rsidR="00D72DB6" w:rsidRPr="00D72DB6">
              <w:rPr>
                <w:rStyle w:val="Hyperlink"/>
                <w:rFonts w:ascii="Times New Roman" w:hAnsi="Times New Roman"/>
                <w:noProof/>
                <w:webHidden/>
                <w:color w:val="auto"/>
                <w:sz w:val="24"/>
                <w:szCs w:val="24"/>
              </w:rPr>
              <w:t>38</w:t>
            </w:r>
            <w:r w:rsidRPr="00D72DB6">
              <w:rPr>
                <w:rStyle w:val="Hyperlink"/>
                <w:rFonts w:ascii="Times New Roman" w:hAnsi="Times New Roman"/>
                <w:noProof/>
                <w:webHidden/>
                <w:color w:val="auto"/>
                <w:sz w:val="24"/>
                <w:szCs w:val="24"/>
              </w:rPr>
              <w:fldChar w:fldCharType="end"/>
            </w:r>
          </w:hyperlink>
        </w:p>
        <w:p w:rsidR="00D72DB6" w:rsidRPr="00D72DB6" w:rsidRDefault="003C6EA5" w:rsidP="00D72DB6">
          <w:pPr>
            <w:pStyle w:val="TOC1"/>
            <w:rPr>
              <w:rFonts w:ascii="Times New Roman" w:eastAsiaTheme="minorEastAsia" w:hAnsi="Times New Roman"/>
              <w:noProof/>
              <w:sz w:val="24"/>
              <w:szCs w:val="24"/>
              <w:lang w:val="en-US"/>
            </w:rPr>
          </w:pPr>
          <w:hyperlink r:id="rId40" w:anchor="_Toc507424910" w:history="1">
            <w:r w:rsidR="00D72DB6" w:rsidRPr="00D72DB6">
              <w:rPr>
                <w:rStyle w:val="Hyperlink"/>
                <w:rFonts w:ascii="Times New Roman" w:hAnsi="Times New Roman"/>
                <w:b/>
                <w:noProof/>
                <w:sz w:val="24"/>
                <w:szCs w:val="24"/>
              </w:rPr>
              <w:t>ANEKSI 2</w:t>
            </w:r>
            <w:r w:rsidR="00D72DB6" w:rsidRPr="00D72DB6">
              <w:rPr>
                <w:rStyle w:val="Hyperlink"/>
                <w:rFonts w:ascii="Times New Roman" w:hAnsi="Times New Roman"/>
                <w:noProof/>
                <w:webHidden/>
                <w:color w:val="auto"/>
                <w:sz w:val="24"/>
                <w:szCs w:val="24"/>
              </w:rPr>
              <w:tab/>
            </w:r>
            <w:r w:rsidRPr="00D72DB6">
              <w:rPr>
                <w:rStyle w:val="Hyperlink"/>
                <w:rFonts w:ascii="Times New Roman" w:hAnsi="Times New Roman"/>
                <w:noProof/>
                <w:webHidden/>
                <w:color w:val="auto"/>
                <w:sz w:val="24"/>
                <w:szCs w:val="24"/>
              </w:rPr>
              <w:fldChar w:fldCharType="begin"/>
            </w:r>
            <w:r w:rsidR="00D72DB6" w:rsidRPr="00D72DB6">
              <w:rPr>
                <w:rStyle w:val="Hyperlink"/>
                <w:rFonts w:ascii="Times New Roman" w:hAnsi="Times New Roman"/>
                <w:noProof/>
                <w:webHidden/>
                <w:color w:val="auto"/>
                <w:sz w:val="24"/>
                <w:szCs w:val="24"/>
              </w:rPr>
              <w:instrText xml:space="preserve"> PAGEREF _Toc507424910 \h </w:instrText>
            </w:r>
            <w:r w:rsidRPr="00D72DB6">
              <w:rPr>
                <w:rStyle w:val="Hyperlink"/>
                <w:rFonts w:ascii="Times New Roman" w:hAnsi="Times New Roman"/>
                <w:noProof/>
                <w:webHidden/>
                <w:color w:val="auto"/>
                <w:sz w:val="24"/>
                <w:szCs w:val="24"/>
              </w:rPr>
            </w:r>
            <w:r w:rsidRPr="00D72DB6">
              <w:rPr>
                <w:rStyle w:val="Hyperlink"/>
                <w:rFonts w:ascii="Times New Roman" w:hAnsi="Times New Roman"/>
                <w:noProof/>
                <w:webHidden/>
                <w:color w:val="auto"/>
                <w:sz w:val="24"/>
                <w:szCs w:val="24"/>
              </w:rPr>
              <w:fldChar w:fldCharType="separate"/>
            </w:r>
            <w:r w:rsidR="00D72DB6" w:rsidRPr="00D72DB6">
              <w:rPr>
                <w:rStyle w:val="Hyperlink"/>
                <w:rFonts w:ascii="Times New Roman" w:hAnsi="Times New Roman"/>
                <w:noProof/>
                <w:webHidden/>
                <w:color w:val="auto"/>
                <w:sz w:val="24"/>
                <w:szCs w:val="24"/>
              </w:rPr>
              <w:t>44</w:t>
            </w:r>
            <w:r w:rsidRPr="00D72DB6">
              <w:rPr>
                <w:rStyle w:val="Hyperlink"/>
                <w:rFonts w:ascii="Times New Roman" w:hAnsi="Times New Roman"/>
                <w:noProof/>
                <w:webHidden/>
                <w:color w:val="auto"/>
                <w:sz w:val="24"/>
                <w:szCs w:val="24"/>
              </w:rPr>
              <w:fldChar w:fldCharType="end"/>
            </w:r>
          </w:hyperlink>
        </w:p>
        <w:p w:rsidR="00D72DB6" w:rsidRPr="00D72DB6" w:rsidRDefault="003C6EA5" w:rsidP="00D72DB6">
          <w:pPr>
            <w:pStyle w:val="TOC1"/>
            <w:rPr>
              <w:rFonts w:ascii="Times New Roman" w:eastAsiaTheme="minorEastAsia" w:hAnsi="Times New Roman"/>
              <w:noProof/>
              <w:sz w:val="24"/>
              <w:szCs w:val="24"/>
              <w:lang w:val="en-US"/>
            </w:rPr>
          </w:pPr>
          <w:hyperlink r:id="rId41" w:anchor="_Toc507424911" w:history="1">
            <w:r w:rsidR="00D72DB6" w:rsidRPr="00D72DB6">
              <w:rPr>
                <w:rStyle w:val="Hyperlink"/>
                <w:rFonts w:ascii="Times New Roman" w:hAnsi="Times New Roman"/>
                <w:b/>
                <w:noProof/>
                <w:sz w:val="24"/>
                <w:szCs w:val="24"/>
              </w:rPr>
              <w:t>ANEKSI 3</w:t>
            </w:r>
            <w:r w:rsidR="00D72DB6" w:rsidRPr="00D72DB6">
              <w:rPr>
                <w:rStyle w:val="Hyperlink"/>
                <w:rFonts w:ascii="Times New Roman" w:hAnsi="Times New Roman"/>
                <w:noProof/>
                <w:webHidden/>
                <w:color w:val="auto"/>
                <w:sz w:val="24"/>
                <w:szCs w:val="24"/>
              </w:rPr>
              <w:tab/>
            </w:r>
            <w:r w:rsidRPr="00D72DB6">
              <w:rPr>
                <w:rStyle w:val="Hyperlink"/>
                <w:rFonts w:ascii="Times New Roman" w:hAnsi="Times New Roman"/>
                <w:noProof/>
                <w:webHidden/>
                <w:color w:val="auto"/>
                <w:sz w:val="24"/>
                <w:szCs w:val="24"/>
              </w:rPr>
              <w:fldChar w:fldCharType="begin"/>
            </w:r>
            <w:r w:rsidR="00D72DB6" w:rsidRPr="00D72DB6">
              <w:rPr>
                <w:rStyle w:val="Hyperlink"/>
                <w:rFonts w:ascii="Times New Roman" w:hAnsi="Times New Roman"/>
                <w:noProof/>
                <w:webHidden/>
                <w:color w:val="auto"/>
                <w:sz w:val="24"/>
                <w:szCs w:val="24"/>
              </w:rPr>
              <w:instrText xml:space="preserve"> PAGEREF _Toc507424911 \h </w:instrText>
            </w:r>
            <w:r w:rsidRPr="00D72DB6">
              <w:rPr>
                <w:rStyle w:val="Hyperlink"/>
                <w:rFonts w:ascii="Times New Roman" w:hAnsi="Times New Roman"/>
                <w:noProof/>
                <w:webHidden/>
                <w:color w:val="auto"/>
                <w:sz w:val="24"/>
                <w:szCs w:val="24"/>
              </w:rPr>
            </w:r>
            <w:r w:rsidRPr="00D72DB6">
              <w:rPr>
                <w:rStyle w:val="Hyperlink"/>
                <w:rFonts w:ascii="Times New Roman" w:hAnsi="Times New Roman"/>
                <w:noProof/>
                <w:webHidden/>
                <w:color w:val="auto"/>
                <w:sz w:val="24"/>
                <w:szCs w:val="24"/>
              </w:rPr>
              <w:fldChar w:fldCharType="separate"/>
            </w:r>
            <w:r w:rsidR="00D72DB6" w:rsidRPr="00D72DB6">
              <w:rPr>
                <w:rStyle w:val="Hyperlink"/>
                <w:rFonts w:ascii="Times New Roman" w:hAnsi="Times New Roman"/>
                <w:noProof/>
                <w:webHidden/>
                <w:color w:val="auto"/>
                <w:sz w:val="24"/>
                <w:szCs w:val="24"/>
              </w:rPr>
              <w:t>46</w:t>
            </w:r>
            <w:r w:rsidRPr="00D72DB6">
              <w:rPr>
                <w:rStyle w:val="Hyperlink"/>
                <w:rFonts w:ascii="Times New Roman" w:hAnsi="Times New Roman"/>
                <w:noProof/>
                <w:webHidden/>
                <w:color w:val="auto"/>
                <w:sz w:val="24"/>
                <w:szCs w:val="24"/>
              </w:rPr>
              <w:fldChar w:fldCharType="end"/>
            </w:r>
          </w:hyperlink>
        </w:p>
        <w:p w:rsidR="00D72DB6" w:rsidRPr="00D72DB6" w:rsidRDefault="003C6EA5" w:rsidP="00D72DB6">
          <w:pPr>
            <w:rPr>
              <w:rFonts w:ascii="Times New Roman" w:hAnsi="Times New Roman"/>
              <w:sz w:val="24"/>
              <w:szCs w:val="24"/>
            </w:rPr>
          </w:pPr>
          <w:r w:rsidRPr="00D72DB6">
            <w:rPr>
              <w:rFonts w:ascii="Times New Roman" w:hAnsi="Times New Roman"/>
              <w:b/>
              <w:bCs/>
              <w:noProof/>
              <w:sz w:val="24"/>
              <w:szCs w:val="24"/>
            </w:rPr>
            <w:fldChar w:fldCharType="end"/>
          </w:r>
        </w:p>
      </w:sdtContent>
    </w:sdt>
    <w:p w:rsidR="00D72DB6" w:rsidRPr="00D72DB6" w:rsidRDefault="00D72DB6" w:rsidP="00D72DB6">
      <w:pPr>
        <w:spacing w:after="0" w:line="360" w:lineRule="auto"/>
        <w:rPr>
          <w:rFonts w:ascii="Times New Roman" w:hAnsi="Times New Roman"/>
          <w:sz w:val="24"/>
          <w:szCs w:val="24"/>
        </w:rPr>
      </w:pPr>
    </w:p>
    <w:p w:rsidR="00D72DB6" w:rsidRPr="00D72DB6" w:rsidRDefault="00D72DB6" w:rsidP="00D72DB6">
      <w:pPr>
        <w:spacing w:after="0" w:line="360" w:lineRule="auto"/>
        <w:rPr>
          <w:rFonts w:ascii="Times New Roman" w:hAnsi="Times New Roman"/>
          <w:sz w:val="24"/>
          <w:szCs w:val="24"/>
        </w:rPr>
      </w:pPr>
    </w:p>
    <w:p w:rsidR="00D72DB6" w:rsidRPr="00D72DB6" w:rsidRDefault="00D72DB6" w:rsidP="00D72DB6">
      <w:pPr>
        <w:spacing w:after="0" w:line="360" w:lineRule="auto"/>
        <w:rPr>
          <w:rFonts w:ascii="Times New Roman" w:hAnsi="Times New Roman"/>
          <w:sz w:val="24"/>
          <w:szCs w:val="24"/>
        </w:rPr>
      </w:pPr>
    </w:p>
    <w:p w:rsidR="00D72DB6" w:rsidRPr="00D72DB6" w:rsidRDefault="00D72DB6" w:rsidP="00D72DB6">
      <w:pPr>
        <w:spacing w:after="160" w:line="256" w:lineRule="auto"/>
        <w:rPr>
          <w:rFonts w:ascii="Times New Roman" w:hAnsi="Times New Roman"/>
          <w:sz w:val="24"/>
          <w:szCs w:val="24"/>
        </w:rPr>
      </w:pPr>
      <w:r w:rsidRPr="00D72DB6">
        <w:rPr>
          <w:rFonts w:ascii="Times New Roman" w:hAnsi="Times New Roman"/>
          <w:sz w:val="24"/>
          <w:szCs w:val="24"/>
        </w:rPr>
        <w:br w:type="page"/>
      </w:r>
    </w:p>
    <w:p w:rsidR="00D72DB6" w:rsidRPr="00D72DB6" w:rsidRDefault="00D72DB6" w:rsidP="00D72DB6">
      <w:pPr>
        <w:pStyle w:val="Heading1"/>
        <w:rPr>
          <w:rFonts w:ascii="Times New Roman" w:hAnsi="Times New Roman" w:cs="Times New Roman"/>
          <w:b/>
          <w:sz w:val="24"/>
          <w:szCs w:val="24"/>
        </w:rPr>
      </w:pPr>
      <w:bookmarkStart w:id="1" w:name="_Toc507424875"/>
      <w:r w:rsidRPr="00D72DB6">
        <w:rPr>
          <w:rFonts w:ascii="Times New Roman" w:hAnsi="Times New Roman" w:cs="Times New Roman"/>
          <w:b/>
          <w:sz w:val="24"/>
          <w:szCs w:val="24"/>
        </w:rPr>
        <w:lastRenderedPageBreak/>
        <w:t>1. VËSHTRIM MBI VITIN 2017</w:t>
      </w:r>
      <w:bookmarkEnd w:id="1"/>
    </w:p>
    <w:p w:rsidR="00D72DB6" w:rsidRPr="00D72DB6" w:rsidRDefault="00D72DB6" w:rsidP="00D72DB6">
      <w:pPr>
        <w:spacing w:after="0" w:line="360" w:lineRule="auto"/>
        <w:jc w:val="both"/>
        <w:rPr>
          <w:rFonts w:ascii="Times New Roman" w:hAnsi="Times New Roman"/>
          <w:sz w:val="24"/>
          <w:szCs w:val="24"/>
        </w:rPr>
      </w:pPr>
    </w:p>
    <w:p w:rsidR="00D72DB6" w:rsidRPr="00D72DB6" w:rsidRDefault="00D72DB6" w:rsidP="00D72DB6">
      <w:pPr>
        <w:spacing w:after="0" w:line="360" w:lineRule="auto"/>
        <w:jc w:val="both"/>
        <w:rPr>
          <w:rFonts w:ascii="Times New Roman" w:hAnsi="Times New Roman"/>
          <w:sz w:val="24"/>
          <w:szCs w:val="24"/>
        </w:rPr>
      </w:pPr>
      <w:r w:rsidRPr="00D72DB6">
        <w:rPr>
          <w:rFonts w:ascii="Times New Roman" w:hAnsi="Times New Roman"/>
          <w:sz w:val="24"/>
          <w:szCs w:val="24"/>
        </w:rPr>
        <w:t xml:space="preserve">Hartimi i këtij raporti bazohet në analizën e performancës institucionale për vitin 2017 të Zyrës së Komisionerit për të Drejtën e Informimit dhe Mbrojtjen e të Dhënave Personale (KDIMDP), lidhur me monitorimin e ligjit nr. 119/2014 “Për të drejtën e informimit” dhe ligjit                        nr. 9887/2008, “Për mbrojtjen e të dhënave personale”, i ndryshuar, si dhe të trajtimit të ankesave lidhur me ligjin nr. 146/2014 “Për njoftimin dhe konsultimin publik”. </w:t>
      </w:r>
    </w:p>
    <w:p w:rsidR="00D72DB6" w:rsidRPr="00D72DB6" w:rsidRDefault="00D72DB6" w:rsidP="00D72DB6">
      <w:pPr>
        <w:autoSpaceDE w:val="0"/>
        <w:autoSpaceDN w:val="0"/>
        <w:adjustRightInd w:val="0"/>
        <w:spacing w:after="0" w:line="360" w:lineRule="auto"/>
        <w:jc w:val="both"/>
        <w:rPr>
          <w:rFonts w:ascii="Times New Roman" w:hAnsi="Times New Roman"/>
          <w:color w:val="000000" w:themeColor="text1"/>
          <w:sz w:val="24"/>
          <w:szCs w:val="24"/>
        </w:rPr>
      </w:pPr>
      <w:r w:rsidRPr="00D72DB6">
        <w:rPr>
          <w:rFonts w:ascii="Times New Roman" w:hAnsi="Times New Roman"/>
          <w:sz w:val="24"/>
          <w:szCs w:val="24"/>
        </w:rPr>
        <w:t xml:space="preserve">Veprimtaria e Zyrës së Komisionerit mbështetet në zbatimin me korrektësi të legjislacionit shqiptar, të rekomandimeve të rezolutës së Kuvendit të Shqipërisë dhe detyrimeve që burojnë nga bashkëpunimi ndërkombëtar. </w:t>
      </w:r>
      <w:r w:rsidRPr="00D72DB6">
        <w:rPr>
          <w:rFonts w:ascii="Times New Roman" w:hAnsi="Times New Roman"/>
          <w:color w:val="000000" w:themeColor="text1"/>
          <w:sz w:val="24"/>
          <w:szCs w:val="24"/>
        </w:rPr>
        <w:t xml:space="preserve">Për Zyrën e Komisionerit </w:t>
      </w:r>
      <w:r w:rsidRPr="00D72DB6">
        <w:rPr>
          <w:rFonts w:ascii="Times New Roman" w:hAnsi="Times New Roman"/>
          <w:sz w:val="24"/>
          <w:szCs w:val="24"/>
        </w:rPr>
        <w:t>v</w:t>
      </w:r>
      <w:r w:rsidRPr="00D72DB6">
        <w:rPr>
          <w:rFonts w:ascii="Times New Roman" w:hAnsi="Times New Roman"/>
          <w:color w:val="000000" w:themeColor="text1"/>
          <w:sz w:val="24"/>
          <w:szCs w:val="24"/>
        </w:rPr>
        <w:t>iti 2017 ka qenë një vit dinamik, me një veprimtari të zgjeruar, kontribute të prekshme, përgjegjësi dhe sfida të reja.</w:t>
      </w:r>
    </w:p>
    <w:p w:rsidR="00D72DB6" w:rsidRPr="00D72DB6" w:rsidRDefault="00D72DB6" w:rsidP="00D72DB6">
      <w:pPr>
        <w:autoSpaceDE w:val="0"/>
        <w:autoSpaceDN w:val="0"/>
        <w:adjustRightInd w:val="0"/>
        <w:spacing w:after="0" w:line="360" w:lineRule="auto"/>
        <w:jc w:val="both"/>
        <w:rPr>
          <w:rStyle w:val="hps"/>
          <w:rFonts w:ascii="Times New Roman" w:hAnsi="Times New Roman"/>
          <w:sz w:val="24"/>
          <w:szCs w:val="24"/>
        </w:rPr>
      </w:pPr>
      <w:r w:rsidRPr="00D72DB6">
        <w:rPr>
          <w:rStyle w:val="hps"/>
          <w:rFonts w:ascii="Times New Roman" w:hAnsi="Times New Roman"/>
          <w:sz w:val="24"/>
          <w:szCs w:val="24"/>
        </w:rPr>
        <w:t>Në kuadër të të drejtës për informim, Zyra e Komisionerit konstaton progres në rritjen e vetëdijes së Autoriteteve Publike për detyrimet e tyre mbi transparencën dhe dhënien e informacionit publik proaktiv. Mbetet ende problem për autoritetet publike aksesi i qytetarëve në informacionin me kërkesë si dhe respektimi i afateve ligjore. Qytetarët gjithashtu kanë vazhduar të tregojnë besim në zbatimin e të drejtës së tyre për informim, duke u adresuar me ankesa të shumta pranë Zyrës së Komisionerit, për rastet ku pretendojnë se iu është mohuar kjo e drejtë.</w:t>
      </w:r>
    </w:p>
    <w:p w:rsidR="00D72DB6" w:rsidRPr="00D72DB6" w:rsidRDefault="00D72DB6" w:rsidP="00D72DB6">
      <w:pPr>
        <w:spacing w:after="0" w:line="360" w:lineRule="auto"/>
        <w:jc w:val="both"/>
        <w:rPr>
          <w:rFonts w:ascii="Times New Roman" w:hAnsi="Times New Roman"/>
          <w:sz w:val="24"/>
          <w:szCs w:val="24"/>
        </w:rPr>
      </w:pPr>
      <w:r w:rsidRPr="00D72DB6">
        <w:rPr>
          <w:rStyle w:val="hps"/>
          <w:rFonts w:ascii="Times New Roman" w:hAnsi="Times New Roman"/>
          <w:sz w:val="24"/>
          <w:szCs w:val="24"/>
        </w:rPr>
        <w:t xml:space="preserve">Në kuadër të të drejtës për mbrojtjen e të dhënave personale, Zyra e Komisionerit është angazhuar në monitorimin e përpunimit të të dhënave personale dhe mbikëqyrjen e respektimit të masave të sigurisë gjatë përpunimit  të tyre, nga kontrollues publik dhe privatë. Si rrjedhojë, Zyra e Komisionerit ka pasur një rritje të vazhdueshme të numrit të ankesave. </w:t>
      </w:r>
      <w:r w:rsidRPr="00D72DB6">
        <w:rPr>
          <w:rFonts w:ascii="Times New Roman" w:eastAsia="Times New Roman" w:hAnsi="Times New Roman"/>
          <w:sz w:val="24"/>
          <w:szCs w:val="24"/>
        </w:rPr>
        <w:t xml:space="preserve">Kompleksiteti i ankesave të mbërritura në adresë të Zyrës së Komisionerit dhe hetimet e shumta administrative janë dëshmi e zhvillimit pozitiv që e drejta për mbrojtjen e të dhënave personale po merr dita ditës edhe në Shqipëri. </w:t>
      </w:r>
    </w:p>
    <w:p w:rsidR="00D72DB6" w:rsidRPr="00D72DB6" w:rsidRDefault="00D72DB6" w:rsidP="00D72DB6">
      <w:pPr>
        <w:autoSpaceDE w:val="0"/>
        <w:autoSpaceDN w:val="0"/>
        <w:adjustRightInd w:val="0"/>
        <w:spacing w:after="0" w:line="360" w:lineRule="auto"/>
        <w:jc w:val="both"/>
        <w:rPr>
          <w:rFonts w:ascii="Times New Roman" w:hAnsi="Times New Roman"/>
          <w:sz w:val="24"/>
          <w:szCs w:val="24"/>
        </w:rPr>
      </w:pPr>
      <w:r w:rsidRPr="00D72DB6">
        <w:rPr>
          <w:rFonts w:ascii="Times New Roman" w:hAnsi="Times New Roman"/>
          <w:sz w:val="24"/>
          <w:szCs w:val="24"/>
        </w:rPr>
        <w:t>Me gjithë rritjen e ndjeshmërisë së qytetarëve për të drejtën e tyre për informim dhe mbrojtjen e të dhënave personale si dhe angazhimin e Zyrës së Komisionerit për të zbatuar me korrektësi legjislacionin në fuqi dhe standartet evropiane, mbetet ende sfiduese vendosja e balancës midis të drejtës për informacion publik dhe mbrojtjes së privatësisë, në veçanti në rastet kur këto dy të drejta duhen balancuar dhe me lirinë e shprehjes.</w:t>
      </w:r>
    </w:p>
    <w:p w:rsidR="00D72DB6" w:rsidRPr="00D72DB6" w:rsidRDefault="00D72DB6" w:rsidP="00D72DB6">
      <w:pPr>
        <w:autoSpaceDE w:val="0"/>
        <w:autoSpaceDN w:val="0"/>
        <w:adjustRightInd w:val="0"/>
        <w:spacing w:after="0" w:line="360" w:lineRule="auto"/>
        <w:jc w:val="both"/>
        <w:rPr>
          <w:rFonts w:ascii="Times New Roman" w:hAnsi="Times New Roman"/>
          <w:sz w:val="24"/>
          <w:szCs w:val="24"/>
        </w:rPr>
      </w:pPr>
      <w:r w:rsidRPr="00D72DB6">
        <w:rPr>
          <w:rFonts w:ascii="Times New Roman" w:hAnsi="Times New Roman"/>
          <w:sz w:val="24"/>
          <w:szCs w:val="24"/>
        </w:rPr>
        <w:t>Zyra e Komisionerit është gjithashtu e angazhuar në trajtimin e ankesave mbi zbatimin e ligjit “Për njoftimin dhe konsultimin publik” për të cilat është shprehur me vendime të rëndësishme. Mbetet ende punë për t’u bërë, sidomos për ndërgjegjësimin e qytetarëve në ushtrimin e të drejtës së tyre për t’u njoftuar dhe konsultuar me projektligjet, projekt dokumentat strategjikë kombëtare dhe vendore, si dhe politikave me interes të lartë publik.</w:t>
      </w:r>
    </w:p>
    <w:p w:rsidR="00D72DB6" w:rsidRPr="00D72DB6" w:rsidRDefault="00D72DB6" w:rsidP="00D72DB6">
      <w:pPr>
        <w:pStyle w:val="Heading1"/>
        <w:rPr>
          <w:rFonts w:ascii="Times New Roman" w:hAnsi="Times New Roman" w:cs="Times New Roman"/>
          <w:b/>
          <w:sz w:val="24"/>
          <w:szCs w:val="24"/>
        </w:rPr>
      </w:pPr>
      <w:bookmarkStart w:id="2" w:name="_Toc507424876"/>
      <w:r w:rsidRPr="00D72DB6">
        <w:rPr>
          <w:rFonts w:ascii="Times New Roman" w:hAnsi="Times New Roman" w:cs="Times New Roman"/>
          <w:b/>
          <w:sz w:val="24"/>
          <w:szCs w:val="24"/>
        </w:rPr>
        <w:lastRenderedPageBreak/>
        <w:t>2. E DREJTA E INFORMIMIT</w:t>
      </w:r>
      <w:bookmarkEnd w:id="2"/>
    </w:p>
    <w:p w:rsidR="00D72DB6" w:rsidRPr="00D72DB6" w:rsidRDefault="00D72DB6" w:rsidP="00D72DB6">
      <w:pPr>
        <w:pStyle w:val="ListParagraph"/>
        <w:spacing w:after="0" w:line="360" w:lineRule="auto"/>
        <w:ind w:left="360"/>
        <w:jc w:val="both"/>
        <w:rPr>
          <w:rFonts w:ascii="Times New Roman" w:hAnsi="Times New Roman"/>
          <w:b/>
          <w:color w:val="2E74B5" w:themeColor="accent1" w:themeShade="BF"/>
          <w:sz w:val="24"/>
          <w:szCs w:val="24"/>
        </w:rPr>
      </w:pPr>
    </w:p>
    <w:p w:rsidR="00D72DB6" w:rsidRPr="00D72DB6" w:rsidRDefault="00D72DB6" w:rsidP="00D72DB6">
      <w:pPr>
        <w:spacing w:after="0" w:line="360" w:lineRule="auto"/>
        <w:jc w:val="both"/>
        <w:rPr>
          <w:rFonts w:ascii="Times New Roman" w:hAnsi="Times New Roman"/>
          <w:sz w:val="24"/>
          <w:szCs w:val="24"/>
        </w:rPr>
      </w:pPr>
      <w:r w:rsidRPr="00D72DB6">
        <w:rPr>
          <w:rFonts w:ascii="Times New Roman" w:hAnsi="Times New Roman"/>
          <w:sz w:val="24"/>
          <w:szCs w:val="24"/>
        </w:rPr>
        <w:t xml:space="preserve">Aksesi në informacionin që prodhohet apo mbahet nga autoritetet publike është i një rëndësie thelbësore për mirëqeverisjen dhe demokracinë. Refuzimi i aksesit në informacion publik, cënon të drejtat e individëve për të krijuar pikëpamjen e duhur mbi shtetin dhe situatën e shoqërisë, sikurse parashikohet në nenin 1, pika 2 të ligjit nr. 119/2014 “Për të drejtën e informimit”. Transparenca e administratës publike është një parakusht i domosdoshëm për një shtet të hapur dhe demokratik si dhe për forcimin e shtetit të të drejtës. Njëkohësisht, transparenca ecën paralelisht me integritetin dhe llogaridhënien e organeve të sektorit publik, parashikuar në Nenin 1, pika 3, të ligjit nr. 119/2014 “Për të drejtën e informimit”. </w:t>
      </w:r>
    </w:p>
    <w:p w:rsidR="00D72DB6" w:rsidRPr="00D72DB6" w:rsidRDefault="00D72DB6" w:rsidP="00D72DB6">
      <w:pPr>
        <w:spacing w:after="0" w:line="360" w:lineRule="auto"/>
        <w:jc w:val="both"/>
        <w:rPr>
          <w:rFonts w:ascii="Times New Roman" w:hAnsi="Times New Roman"/>
          <w:sz w:val="24"/>
          <w:szCs w:val="24"/>
        </w:rPr>
      </w:pPr>
    </w:p>
    <w:p w:rsidR="00D72DB6" w:rsidRPr="00D72DB6" w:rsidRDefault="00D72DB6" w:rsidP="00D72DB6">
      <w:pPr>
        <w:pStyle w:val="Heading2"/>
        <w:ind w:left="540" w:hanging="540"/>
        <w:jc w:val="both"/>
        <w:rPr>
          <w:rFonts w:ascii="Times New Roman" w:hAnsi="Times New Roman" w:cs="Times New Roman"/>
          <w:sz w:val="24"/>
          <w:szCs w:val="24"/>
        </w:rPr>
      </w:pPr>
      <w:bookmarkStart w:id="3" w:name="_Toc507424877"/>
      <w:r w:rsidRPr="00D72DB6">
        <w:rPr>
          <w:rFonts w:ascii="Times New Roman" w:hAnsi="Times New Roman" w:cs="Times New Roman"/>
          <w:sz w:val="24"/>
          <w:szCs w:val="24"/>
        </w:rPr>
        <w:t>2.1 Monitorimi dhe mbikëqyrja e ligjit nr. 119/2014 “Për të drejtën e informimit”</w:t>
      </w:r>
      <w:bookmarkEnd w:id="3"/>
    </w:p>
    <w:p w:rsidR="00D72DB6" w:rsidRPr="00D72DB6" w:rsidRDefault="00D72DB6" w:rsidP="00D72DB6">
      <w:pPr>
        <w:pStyle w:val="ListParagraph"/>
        <w:spacing w:line="360" w:lineRule="auto"/>
        <w:ind w:left="0"/>
        <w:jc w:val="both"/>
        <w:rPr>
          <w:rFonts w:ascii="Times New Roman" w:hAnsi="Times New Roman"/>
          <w:b/>
          <w:bCs/>
          <w:color w:val="2E74B5" w:themeColor="accent1" w:themeShade="BF"/>
          <w:sz w:val="24"/>
          <w:szCs w:val="24"/>
        </w:rPr>
      </w:pPr>
    </w:p>
    <w:p w:rsidR="00D72DB6" w:rsidRPr="00D72DB6" w:rsidRDefault="00D72DB6" w:rsidP="00D72DB6">
      <w:pPr>
        <w:pStyle w:val="ListParagraph"/>
        <w:spacing w:line="360" w:lineRule="auto"/>
        <w:ind w:left="0"/>
        <w:jc w:val="both"/>
        <w:rPr>
          <w:rFonts w:ascii="Times New Roman" w:hAnsi="Times New Roman"/>
          <w:sz w:val="24"/>
          <w:szCs w:val="24"/>
        </w:rPr>
      </w:pPr>
      <w:r w:rsidRPr="00D72DB6">
        <w:rPr>
          <w:rFonts w:ascii="Times New Roman" w:hAnsi="Times New Roman"/>
          <w:sz w:val="24"/>
          <w:szCs w:val="24"/>
        </w:rPr>
        <w:t>Gjatë vitit 2017, Zyra e Komisionerit ka vijuar punën lidhur me zbatimin dhe monitorimin e ligjit nr. 119/2014 “Për të drejtën e informimit”. Mbikëqyrja e zbatimit të ligjit nr. 119/2014 “Për të drejtën e informimit”, kryhet nëpërmjet monitorimit të elementëve të ndryshëm të ligjit si p.sh. numri i autoriteteve publike që kanë hartuar programet e transparencës, koordinatorë të caktuar nga autoritetet publike, përditësimi i regjistrit të kërkesave dhe përgjigjeve, numri i ankesave të shqyrtuara, hetimet e kryera, seanca dëgjimore të zhvilluara si dhe vendimet e dhëna.</w:t>
      </w:r>
    </w:p>
    <w:p w:rsidR="00D72DB6" w:rsidRPr="00D72DB6" w:rsidRDefault="00D72DB6" w:rsidP="00D72DB6">
      <w:pPr>
        <w:pStyle w:val="ListParagraph"/>
        <w:spacing w:line="360" w:lineRule="auto"/>
        <w:ind w:left="0"/>
        <w:jc w:val="both"/>
        <w:rPr>
          <w:rFonts w:ascii="Times New Roman" w:hAnsi="Times New Roman"/>
          <w:sz w:val="24"/>
          <w:szCs w:val="24"/>
        </w:rPr>
      </w:pPr>
      <w:r w:rsidRPr="00D72DB6">
        <w:rPr>
          <w:rFonts w:ascii="Times New Roman" w:hAnsi="Times New Roman"/>
          <w:sz w:val="24"/>
          <w:szCs w:val="24"/>
        </w:rPr>
        <w:t>Gjatë vitit 2017, Zyra e Komisionerit jo vetëm ka monitoruar faqet zyrtare të Autoriteteve Publike, por ka kryer inspektime në terren si dhe ka kërkuar informacion lidhur me përmbushjen e detyrimeve që burojnë nga ligji nr. 119/2014, si:</w:t>
      </w:r>
    </w:p>
    <w:p w:rsidR="00D72DB6" w:rsidRPr="00D72DB6" w:rsidRDefault="00D72DB6" w:rsidP="00D72DB6">
      <w:pPr>
        <w:pStyle w:val="ListParagraph"/>
        <w:numPr>
          <w:ilvl w:val="0"/>
          <w:numId w:val="1"/>
        </w:numPr>
        <w:spacing w:line="360" w:lineRule="auto"/>
        <w:jc w:val="both"/>
        <w:rPr>
          <w:rFonts w:ascii="Times New Roman" w:hAnsi="Times New Roman"/>
          <w:sz w:val="24"/>
          <w:szCs w:val="24"/>
        </w:rPr>
      </w:pPr>
      <w:r w:rsidRPr="00D72DB6">
        <w:rPr>
          <w:rFonts w:ascii="Times New Roman" w:hAnsi="Times New Roman"/>
          <w:sz w:val="24"/>
          <w:szCs w:val="24"/>
        </w:rPr>
        <w:t>publikimi i programeve të transparencës;</w:t>
      </w:r>
    </w:p>
    <w:p w:rsidR="00D72DB6" w:rsidRPr="00D72DB6" w:rsidRDefault="00D72DB6" w:rsidP="00D72DB6">
      <w:pPr>
        <w:pStyle w:val="ListParagraph"/>
        <w:numPr>
          <w:ilvl w:val="0"/>
          <w:numId w:val="1"/>
        </w:numPr>
        <w:spacing w:line="360" w:lineRule="auto"/>
        <w:jc w:val="both"/>
        <w:rPr>
          <w:rFonts w:ascii="Times New Roman" w:hAnsi="Times New Roman"/>
          <w:sz w:val="24"/>
          <w:szCs w:val="24"/>
        </w:rPr>
      </w:pPr>
      <w:r w:rsidRPr="00D72DB6">
        <w:rPr>
          <w:rFonts w:ascii="Times New Roman" w:hAnsi="Times New Roman"/>
          <w:sz w:val="24"/>
          <w:szCs w:val="24"/>
        </w:rPr>
        <w:t xml:space="preserve">caktimi i koordinatorit për të drejtën e informimit; </w:t>
      </w:r>
    </w:p>
    <w:p w:rsidR="00D72DB6" w:rsidRPr="00D72DB6" w:rsidRDefault="00D72DB6" w:rsidP="00D72DB6">
      <w:pPr>
        <w:pStyle w:val="ListParagraph"/>
        <w:numPr>
          <w:ilvl w:val="0"/>
          <w:numId w:val="1"/>
        </w:numPr>
        <w:spacing w:line="360" w:lineRule="auto"/>
        <w:jc w:val="both"/>
        <w:rPr>
          <w:rFonts w:ascii="Times New Roman" w:hAnsi="Times New Roman"/>
          <w:sz w:val="24"/>
          <w:szCs w:val="24"/>
        </w:rPr>
      </w:pPr>
      <w:r w:rsidRPr="00D72DB6">
        <w:rPr>
          <w:rFonts w:ascii="Times New Roman" w:hAnsi="Times New Roman"/>
          <w:sz w:val="24"/>
          <w:szCs w:val="24"/>
        </w:rPr>
        <w:t xml:space="preserve">publikimin e regjistrit të kërkesave dhe përgjigjeve. </w:t>
      </w:r>
    </w:p>
    <w:p w:rsidR="00D72DB6" w:rsidRPr="00D72DB6" w:rsidRDefault="00D72DB6" w:rsidP="00D72DB6">
      <w:pPr>
        <w:pStyle w:val="Standard"/>
        <w:spacing w:after="200" w:line="360" w:lineRule="auto"/>
        <w:jc w:val="both"/>
        <w:rPr>
          <w:rFonts w:ascii="Times New Roman" w:hAnsi="Times New Roman" w:cs="Times New Roman"/>
          <w:sz w:val="24"/>
          <w:lang w:val="sq-AL"/>
        </w:rPr>
      </w:pPr>
      <w:r w:rsidRPr="00D72DB6">
        <w:rPr>
          <w:rFonts w:ascii="Times New Roman" w:hAnsi="Times New Roman" w:cs="Times New Roman"/>
          <w:sz w:val="24"/>
          <w:lang w:val="sq-AL"/>
        </w:rPr>
        <w:t xml:space="preserve">Nga monitorimi i autoriteteve publike ka rezultuar se </w:t>
      </w:r>
      <w:r w:rsidRPr="00D72DB6">
        <w:rPr>
          <w:rFonts w:ascii="Times New Roman" w:hAnsi="Times New Roman" w:cs="Times New Roman"/>
          <w:b/>
          <w:sz w:val="24"/>
          <w:lang w:val="sq-AL"/>
        </w:rPr>
        <w:t xml:space="preserve">181 </w:t>
      </w:r>
      <w:r w:rsidRPr="00D72DB6">
        <w:rPr>
          <w:rFonts w:ascii="Times New Roman" w:hAnsi="Times New Roman" w:cs="Times New Roman"/>
          <w:sz w:val="24"/>
          <w:lang w:val="sq-AL"/>
        </w:rPr>
        <w:t xml:space="preserve">autoritete publike kanë miratuar dhe kanë bërë publik programin e transparencës; </w:t>
      </w:r>
      <w:r w:rsidRPr="00D72DB6">
        <w:rPr>
          <w:rFonts w:ascii="Times New Roman" w:hAnsi="Times New Roman" w:cs="Times New Roman"/>
          <w:b/>
          <w:sz w:val="24"/>
          <w:lang w:val="sq-AL"/>
        </w:rPr>
        <w:t>227</w:t>
      </w:r>
      <w:r w:rsidRPr="00D72DB6">
        <w:rPr>
          <w:rFonts w:ascii="Times New Roman" w:hAnsi="Times New Roman" w:cs="Times New Roman"/>
          <w:sz w:val="24"/>
          <w:lang w:val="sq-AL"/>
        </w:rPr>
        <w:t xml:space="preserve"> autoritete publike kanë caktuar koordinator për të drejtën e informimit dhe </w:t>
      </w:r>
      <w:r w:rsidRPr="00D72DB6">
        <w:rPr>
          <w:rFonts w:ascii="Times New Roman" w:hAnsi="Times New Roman" w:cs="Times New Roman"/>
          <w:b/>
          <w:sz w:val="24"/>
          <w:lang w:val="sq-AL"/>
        </w:rPr>
        <w:t xml:space="preserve">124 </w:t>
      </w:r>
      <w:r w:rsidRPr="00D72DB6">
        <w:rPr>
          <w:rFonts w:ascii="Times New Roman" w:hAnsi="Times New Roman" w:cs="Times New Roman"/>
          <w:sz w:val="24"/>
          <w:lang w:val="sq-AL"/>
        </w:rPr>
        <w:t xml:space="preserve">Autoritete Publike kanë publikuar regjistrin e kërkesave dhe përgjigjeve. </w:t>
      </w:r>
    </w:p>
    <w:p w:rsidR="00D72DB6" w:rsidRPr="00D72DB6" w:rsidRDefault="00D72DB6" w:rsidP="00D72DB6">
      <w:pPr>
        <w:pStyle w:val="Standard"/>
        <w:spacing w:line="360" w:lineRule="auto"/>
        <w:jc w:val="both"/>
        <w:rPr>
          <w:rFonts w:ascii="Times New Roman" w:hAnsi="Times New Roman" w:cs="Times New Roman"/>
          <w:sz w:val="24"/>
          <w:lang w:val="sq-AL"/>
        </w:rPr>
      </w:pPr>
      <w:r w:rsidRPr="00D72DB6">
        <w:rPr>
          <w:rFonts w:ascii="Times New Roman" w:hAnsi="Times New Roman" w:cs="Times New Roman"/>
          <w:noProof/>
          <w:sz w:val="24"/>
          <w:lang w:val="sq-AL" w:eastAsia="sq-AL" w:bidi="ar-SA"/>
        </w:rPr>
        <w:lastRenderedPageBreak/>
        <w:drawing>
          <wp:inline distT="0" distB="0" distL="0" distR="0">
            <wp:extent cx="5715000" cy="3486150"/>
            <wp:effectExtent l="0" t="0" r="0"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rsidR="00D72DB6" w:rsidRPr="00D72DB6" w:rsidRDefault="00D72DB6" w:rsidP="00D72DB6">
      <w:pPr>
        <w:pStyle w:val="ListParagraph"/>
        <w:spacing w:line="360" w:lineRule="auto"/>
        <w:ind w:left="0"/>
        <w:jc w:val="both"/>
        <w:rPr>
          <w:rFonts w:ascii="Times New Roman" w:hAnsi="Times New Roman"/>
          <w:sz w:val="24"/>
          <w:szCs w:val="24"/>
        </w:rPr>
      </w:pPr>
    </w:p>
    <w:p w:rsidR="00D72DB6" w:rsidRPr="00D72DB6" w:rsidRDefault="00D72DB6" w:rsidP="00D72DB6">
      <w:pPr>
        <w:pStyle w:val="ListParagraph"/>
        <w:spacing w:line="360" w:lineRule="auto"/>
        <w:ind w:left="0"/>
        <w:jc w:val="both"/>
        <w:rPr>
          <w:rFonts w:ascii="Times New Roman" w:hAnsi="Times New Roman"/>
          <w:sz w:val="24"/>
          <w:szCs w:val="24"/>
        </w:rPr>
      </w:pPr>
      <w:r w:rsidRPr="00D72DB6">
        <w:rPr>
          <w:rFonts w:ascii="Times New Roman" w:hAnsi="Times New Roman"/>
          <w:sz w:val="24"/>
          <w:szCs w:val="24"/>
        </w:rPr>
        <w:t xml:space="preserve">Nga monitorimi i autoriteteve publike për vitin 2017 ka rezultuar se institucionet të cilat kanë një program të plotë dhe të përditësuar transparence janë </w:t>
      </w:r>
      <w:r w:rsidRPr="00D72DB6">
        <w:rPr>
          <w:rFonts w:ascii="Times New Roman" w:hAnsi="Times New Roman"/>
          <w:b/>
          <w:i/>
          <w:sz w:val="24"/>
          <w:szCs w:val="24"/>
        </w:rPr>
        <w:t>institucionet e pavarura</w:t>
      </w:r>
      <w:r w:rsidRPr="00D72DB6">
        <w:rPr>
          <w:rFonts w:ascii="Times New Roman" w:hAnsi="Times New Roman"/>
          <w:sz w:val="24"/>
          <w:szCs w:val="24"/>
        </w:rPr>
        <w:t xml:space="preserve">. Gjithashtu, institucionet e pavarura, kanë të njëjtët koordinator që kanë caktuar që me hyrjen në fuqi të ligjit nr. 119/2014 “Për të drejtën e Informimit”. Numri i kërkesave për informim të trajtuara nga këto institucione, gjatë vitit 2017 është </w:t>
      </w:r>
      <w:r w:rsidRPr="00D72DB6">
        <w:rPr>
          <w:rFonts w:ascii="Times New Roman" w:hAnsi="Times New Roman"/>
          <w:b/>
          <w:sz w:val="24"/>
          <w:szCs w:val="24"/>
        </w:rPr>
        <w:t>1303</w:t>
      </w:r>
      <w:r w:rsidRPr="00D72DB6">
        <w:rPr>
          <w:rFonts w:ascii="Times New Roman" w:hAnsi="Times New Roman"/>
          <w:sz w:val="24"/>
          <w:szCs w:val="24"/>
        </w:rPr>
        <w:t xml:space="preserve">, ndërsa numri i kërkesave të refuzuara </w:t>
      </w:r>
      <w:r w:rsidRPr="00D72DB6">
        <w:rPr>
          <w:rFonts w:ascii="Times New Roman" w:hAnsi="Times New Roman"/>
          <w:b/>
          <w:sz w:val="24"/>
          <w:szCs w:val="24"/>
        </w:rPr>
        <w:t>98</w:t>
      </w:r>
      <w:r w:rsidRPr="00D72DB6">
        <w:rPr>
          <w:rFonts w:ascii="Times New Roman" w:hAnsi="Times New Roman"/>
          <w:sz w:val="24"/>
          <w:szCs w:val="24"/>
        </w:rPr>
        <w:t>.</w:t>
      </w:r>
    </w:p>
    <w:p w:rsidR="00D72DB6" w:rsidRPr="00D72DB6" w:rsidRDefault="00D72DB6" w:rsidP="00D72DB6">
      <w:pPr>
        <w:pStyle w:val="ListParagraph"/>
        <w:spacing w:line="360" w:lineRule="auto"/>
        <w:ind w:left="0"/>
        <w:jc w:val="both"/>
        <w:rPr>
          <w:rFonts w:ascii="Times New Roman" w:hAnsi="Times New Roman"/>
          <w:sz w:val="24"/>
          <w:szCs w:val="24"/>
        </w:rPr>
      </w:pPr>
    </w:p>
    <w:p w:rsidR="00D72DB6" w:rsidRPr="00D72DB6" w:rsidRDefault="00D72DB6" w:rsidP="00D72DB6">
      <w:pPr>
        <w:pStyle w:val="ListParagraph"/>
        <w:spacing w:line="360" w:lineRule="auto"/>
        <w:ind w:left="0"/>
        <w:jc w:val="both"/>
        <w:rPr>
          <w:rFonts w:ascii="Times New Roman" w:hAnsi="Times New Roman"/>
          <w:b/>
          <w:bCs/>
          <w:color w:val="2E74B5" w:themeColor="accent1" w:themeShade="BF"/>
          <w:sz w:val="24"/>
          <w:szCs w:val="24"/>
        </w:rPr>
      </w:pPr>
      <w:r w:rsidRPr="00D72DB6">
        <w:rPr>
          <w:rFonts w:ascii="Times New Roman" w:hAnsi="Times New Roman"/>
          <w:sz w:val="24"/>
          <w:szCs w:val="24"/>
        </w:rPr>
        <w:t xml:space="preserve">Në lidhje me pushtetin vendor, Zyra e Komisionerit vlerëson se niveli i transparencës së </w:t>
      </w:r>
      <w:r w:rsidRPr="00D72DB6">
        <w:rPr>
          <w:rFonts w:ascii="Times New Roman" w:hAnsi="Times New Roman"/>
          <w:b/>
          <w:i/>
          <w:sz w:val="24"/>
          <w:szCs w:val="24"/>
        </w:rPr>
        <w:t>bashkive</w:t>
      </w:r>
      <w:r w:rsidRPr="00D72DB6">
        <w:rPr>
          <w:rFonts w:ascii="Times New Roman" w:hAnsi="Times New Roman"/>
          <w:sz w:val="24"/>
          <w:szCs w:val="24"/>
        </w:rPr>
        <w:t xml:space="preserve"> shënon përmirësime. Tashmë të gjitha bashkitë kanë caktuar koordinatorët e të drejtës për informim dhe numri i kërkesave për informacion publik të trajtuara nga bashkitë gjatë vitit 2017 është </w:t>
      </w:r>
      <w:r w:rsidRPr="00D72DB6">
        <w:rPr>
          <w:rFonts w:ascii="Times New Roman" w:hAnsi="Times New Roman"/>
          <w:b/>
          <w:sz w:val="24"/>
          <w:szCs w:val="24"/>
        </w:rPr>
        <w:t>9308</w:t>
      </w:r>
      <w:r w:rsidRPr="00D72DB6">
        <w:rPr>
          <w:rFonts w:ascii="Times New Roman" w:hAnsi="Times New Roman"/>
          <w:sz w:val="24"/>
          <w:szCs w:val="24"/>
        </w:rPr>
        <w:t xml:space="preserve">, ndërsa numri i kërkesave të refuzuara është </w:t>
      </w:r>
      <w:r w:rsidRPr="00D72DB6">
        <w:rPr>
          <w:rFonts w:ascii="Times New Roman" w:hAnsi="Times New Roman"/>
          <w:b/>
          <w:sz w:val="24"/>
          <w:szCs w:val="24"/>
        </w:rPr>
        <w:t>245</w:t>
      </w:r>
      <w:r w:rsidRPr="00D72DB6">
        <w:rPr>
          <w:rFonts w:ascii="Times New Roman" w:hAnsi="Times New Roman"/>
          <w:sz w:val="24"/>
          <w:szCs w:val="24"/>
        </w:rPr>
        <w:t xml:space="preserve">. </w:t>
      </w:r>
    </w:p>
    <w:p w:rsidR="00D72DB6" w:rsidRPr="00D72DB6" w:rsidRDefault="00D72DB6" w:rsidP="00D72DB6">
      <w:pPr>
        <w:spacing w:line="360" w:lineRule="auto"/>
        <w:rPr>
          <w:rFonts w:ascii="Times New Roman" w:eastAsia="SimSun" w:hAnsi="Times New Roman"/>
          <w:kern w:val="3"/>
          <w:sz w:val="24"/>
          <w:szCs w:val="24"/>
          <w:lang w:eastAsia="zh-CN" w:bidi="hi-IN"/>
        </w:rPr>
      </w:pPr>
      <w:r w:rsidRPr="00D72DB6">
        <w:rPr>
          <w:rFonts w:ascii="Times New Roman" w:eastAsia="SimSun" w:hAnsi="Times New Roman"/>
          <w:kern w:val="3"/>
          <w:sz w:val="24"/>
          <w:szCs w:val="24"/>
          <w:lang w:eastAsia="zh-CN" w:bidi="hi-IN"/>
        </w:rPr>
        <w:t xml:space="preserve">Disa nga problematikat që hasen në institucionet e </w:t>
      </w:r>
      <w:r w:rsidRPr="00D72DB6">
        <w:rPr>
          <w:rFonts w:ascii="Times New Roman" w:eastAsia="SimSun" w:hAnsi="Times New Roman"/>
          <w:b/>
          <w:i/>
          <w:kern w:val="3"/>
          <w:sz w:val="24"/>
          <w:szCs w:val="24"/>
          <w:lang w:eastAsia="zh-CN" w:bidi="hi-IN"/>
        </w:rPr>
        <w:t>pushtetit vendor</w:t>
      </w:r>
      <w:r w:rsidRPr="00D72DB6">
        <w:rPr>
          <w:rFonts w:ascii="Times New Roman" w:eastAsia="SimSun" w:hAnsi="Times New Roman"/>
          <w:kern w:val="3"/>
          <w:sz w:val="24"/>
          <w:szCs w:val="24"/>
          <w:lang w:eastAsia="zh-CN" w:bidi="hi-IN"/>
        </w:rPr>
        <w:t xml:space="preserve"> janë: </w:t>
      </w:r>
    </w:p>
    <w:p w:rsidR="00D72DB6" w:rsidRPr="00D72DB6" w:rsidRDefault="00D72DB6" w:rsidP="00D72DB6">
      <w:pPr>
        <w:pStyle w:val="ListParagraph"/>
        <w:numPr>
          <w:ilvl w:val="0"/>
          <w:numId w:val="2"/>
        </w:numPr>
        <w:spacing w:line="360" w:lineRule="auto"/>
        <w:jc w:val="both"/>
        <w:rPr>
          <w:rFonts w:ascii="Times New Roman" w:eastAsia="SimSun" w:hAnsi="Times New Roman"/>
          <w:kern w:val="3"/>
          <w:sz w:val="24"/>
          <w:szCs w:val="24"/>
          <w:lang w:eastAsia="zh-CN" w:bidi="hi-IN"/>
        </w:rPr>
      </w:pPr>
      <w:r w:rsidRPr="00D72DB6">
        <w:rPr>
          <w:rFonts w:ascii="Times New Roman" w:eastAsia="SimSun" w:hAnsi="Times New Roman"/>
          <w:kern w:val="3"/>
          <w:sz w:val="24"/>
          <w:szCs w:val="24"/>
          <w:lang w:eastAsia="zh-CN" w:bidi="hi-IN"/>
        </w:rPr>
        <w:t xml:space="preserve">Disa bashki nuk zotërojnë një faqe </w:t>
      </w:r>
      <w:r w:rsidRPr="00D72DB6">
        <w:rPr>
          <w:rFonts w:ascii="Times New Roman" w:eastAsia="SimSun" w:hAnsi="Times New Roman"/>
          <w:color w:val="000000" w:themeColor="text1"/>
          <w:kern w:val="3"/>
          <w:sz w:val="24"/>
          <w:szCs w:val="24"/>
          <w:lang w:eastAsia="zh-CN" w:bidi="hi-IN"/>
        </w:rPr>
        <w:t xml:space="preserve">interneti, </w:t>
      </w:r>
      <w:r w:rsidRPr="00D72DB6">
        <w:rPr>
          <w:rFonts w:ascii="Times New Roman" w:eastAsia="SimSun" w:hAnsi="Times New Roman"/>
          <w:kern w:val="3"/>
          <w:sz w:val="24"/>
          <w:szCs w:val="24"/>
          <w:lang w:eastAsia="zh-CN" w:bidi="hi-IN"/>
        </w:rPr>
        <w:t xml:space="preserve">çka sjell vështirësi në aksesimin e informacionit; </w:t>
      </w:r>
    </w:p>
    <w:p w:rsidR="00D72DB6" w:rsidRPr="00D72DB6" w:rsidRDefault="00D72DB6" w:rsidP="00D72DB6">
      <w:pPr>
        <w:pStyle w:val="ListParagraph"/>
        <w:numPr>
          <w:ilvl w:val="0"/>
          <w:numId w:val="2"/>
        </w:numPr>
        <w:spacing w:line="360" w:lineRule="auto"/>
        <w:jc w:val="both"/>
        <w:rPr>
          <w:rFonts w:ascii="Times New Roman" w:eastAsia="SimSun" w:hAnsi="Times New Roman"/>
          <w:kern w:val="3"/>
          <w:sz w:val="24"/>
          <w:szCs w:val="24"/>
          <w:lang w:eastAsia="zh-CN" w:bidi="hi-IN"/>
        </w:rPr>
      </w:pPr>
      <w:r w:rsidRPr="00D72DB6">
        <w:rPr>
          <w:rFonts w:ascii="Times New Roman" w:eastAsia="SimSun" w:hAnsi="Times New Roman"/>
          <w:kern w:val="3"/>
          <w:sz w:val="24"/>
          <w:szCs w:val="24"/>
          <w:lang w:eastAsia="zh-CN" w:bidi="hi-IN"/>
        </w:rPr>
        <w:t xml:space="preserve">Disa bashki të cilat edhe pse zotërojnë një faqe </w:t>
      </w:r>
      <w:r w:rsidRPr="00D72DB6">
        <w:rPr>
          <w:rFonts w:ascii="Times New Roman" w:eastAsia="SimSun" w:hAnsi="Times New Roman"/>
          <w:color w:val="000000" w:themeColor="text1"/>
          <w:kern w:val="3"/>
          <w:sz w:val="24"/>
          <w:szCs w:val="24"/>
          <w:lang w:eastAsia="zh-CN" w:bidi="hi-IN"/>
        </w:rPr>
        <w:t>interneti</w:t>
      </w:r>
      <w:r w:rsidRPr="00D72DB6">
        <w:rPr>
          <w:rFonts w:ascii="Times New Roman" w:eastAsia="SimSun" w:hAnsi="Times New Roman"/>
          <w:color w:val="FF0000"/>
          <w:kern w:val="3"/>
          <w:sz w:val="24"/>
          <w:szCs w:val="24"/>
          <w:lang w:eastAsia="zh-CN" w:bidi="hi-IN"/>
        </w:rPr>
        <w:t xml:space="preserve"> </w:t>
      </w:r>
      <w:r w:rsidRPr="00D72DB6">
        <w:rPr>
          <w:rFonts w:ascii="Times New Roman" w:eastAsia="SimSun" w:hAnsi="Times New Roman"/>
          <w:kern w:val="3"/>
          <w:sz w:val="24"/>
          <w:szCs w:val="24"/>
          <w:lang w:eastAsia="zh-CN" w:bidi="hi-IN"/>
        </w:rPr>
        <w:t xml:space="preserve">nuk kanë të publikuar apo përditësuar programin e transparencës dhe regjistrin e kërkesave dhe përgjigjeve. Gjithashtu, një pjesë e materialeve të publikuar në programin e transparencës nuk janë të linkuara; </w:t>
      </w:r>
    </w:p>
    <w:p w:rsidR="00D72DB6" w:rsidRPr="00D72DB6" w:rsidRDefault="00D72DB6" w:rsidP="00D72DB6">
      <w:pPr>
        <w:pStyle w:val="ListParagraph"/>
        <w:numPr>
          <w:ilvl w:val="0"/>
          <w:numId w:val="2"/>
        </w:numPr>
        <w:spacing w:line="360" w:lineRule="auto"/>
        <w:jc w:val="both"/>
        <w:rPr>
          <w:rFonts w:ascii="Times New Roman" w:eastAsia="SimSun" w:hAnsi="Times New Roman"/>
          <w:kern w:val="3"/>
          <w:sz w:val="24"/>
          <w:szCs w:val="24"/>
          <w:lang w:eastAsia="zh-CN" w:bidi="hi-IN"/>
        </w:rPr>
      </w:pPr>
      <w:r w:rsidRPr="00D72DB6">
        <w:rPr>
          <w:rFonts w:ascii="Times New Roman" w:eastAsia="SimSun" w:hAnsi="Times New Roman"/>
          <w:kern w:val="3"/>
          <w:sz w:val="24"/>
          <w:szCs w:val="24"/>
          <w:lang w:eastAsia="zh-CN" w:bidi="hi-IN"/>
        </w:rPr>
        <w:lastRenderedPageBreak/>
        <w:t xml:space="preserve">Konstatohet se ikona e programit të transparencës nuk është ikonë parësore e vendosur në faqen e internetit; </w:t>
      </w:r>
    </w:p>
    <w:p w:rsidR="00D72DB6" w:rsidRPr="00D72DB6" w:rsidRDefault="00D72DB6" w:rsidP="00D72DB6">
      <w:pPr>
        <w:pStyle w:val="ListParagraph"/>
        <w:numPr>
          <w:ilvl w:val="0"/>
          <w:numId w:val="2"/>
        </w:numPr>
        <w:spacing w:line="360" w:lineRule="auto"/>
        <w:jc w:val="both"/>
        <w:rPr>
          <w:rFonts w:ascii="Times New Roman" w:hAnsi="Times New Roman"/>
          <w:sz w:val="24"/>
          <w:szCs w:val="24"/>
        </w:rPr>
      </w:pPr>
      <w:r w:rsidRPr="00D72DB6">
        <w:rPr>
          <w:rFonts w:ascii="Times New Roman" w:eastAsia="SimSun" w:hAnsi="Times New Roman"/>
          <w:kern w:val="3"/>
          <w:sz w:val="24"/>
          <w:szCs w:val="24"/>
          <w:lang w:eastAsia="zh-CN" w:bidi="hi-IN"/>
        </w:rPr>
        <w:t>Edhe pse të gjitha bashkitë kanë caktuar koordinator për të drejtën e informimit dhe kanë njoftuar Zyrën e Komisionerit me anë të një shkrese zyrtare, të dhënat e koordinatorëve, të publikuara në faqet e internetit, nuk janë të plota.</w:t>
      </w:r>
    </w:p>
    <w:p w:rsidR="00D72DB6" w:rsidRPr="00D72DB6" w:rsidRDefault="00D72DB6" w:rsidP="00D72DB6">
      <w:pPr>
        <w:spacing w:line="360" w:lineRule="auto"/>
        <w:jc w:val="both"/>
        <w:rPr>
          <w:rFonts w:ascii="Times New Roman" w:hAnsi="Times New Roman"/>
          <w:sz w:val="24"/>
          <w:szCs w:val="24"/>
        </w:rPr>
      </w:pPr>
      <w:r w:rsidRPr="00D72DB6">
        <w:rPr>
          <w:rFonts w:ascii="Times New Roman" w:hAnsi="Times New Roman"/>
          <w:sz w:val="24"/>
          <w:szCs w:val="24"/>
        </w:rPr>
        <w:t xml:space="preserve">Më problematike situata e transparencës ka qenë për </w:t>
      </w:r>
      <w:r w:rsidRPr="00D72DB6">
        <w:rPr>
          <w:rFonts w:ascii="Times New Roman" w:hAnsi="Times New Roman"/>
          <w:b/>
          <w:i/>
          <w:sz w:val="24"/>
          <w:szCs w:val="24"/>
        </w:rPr>
        <w:t>institucionet e pushtetit qendror</w:t>
      </w:r>
      <w:r w:rsidRPr="00D72DB6">
        <w:rPr>
          <w:rFonts w:ascii="Times New Roman" w:hAnsi="Times New Roman"/>
          <w:sz w:val="24"/>
          <w:szCs w:val="24"/>
        </w:rPr>
        <w:t>. Edhe pse pati përmirësime të dukshme 6 mujorin e parë të vitit 2017, referuar monitorimit, sipas të cilit të gjitha ministritë kishin caktuar koordinatorë të të drejtës për informim dhe programet e transparencës, kjo situatë pati ndryshime pas muajit qershor për shkak të zgjedhjeve elektorale si dhe ndryshimit të kabinetit qeveritar. Ndryshimet konsistuan si në numër të ministrive ashtu edhe në fushat e kompetencave të secilës ministri. Për rrjedhojë, pati një përkeqësim të dukshëm lidhur me zbatimin e detyrimeve që burojnë nga ligji “Për të drejtën e informimit”. Në një pjesë të ministrive pati ndryshim të koordinatorëve të të drejtës për informim, në faqet e internetit të ministrive të reja ekzistonte një ikonë fiktive për programin e transparencës.</w:t>
      </w:r>
    </w:p>
    <w:p w:rsidR="00D72DB6" w:rsidRPr="00D72DB6" w:rsidRDefault="00D72DB6" w:rsidP="00D72DB6">
      <w:pPr>
        <w:spacing w:line="360" w:lineRule="auto"/>
        <w:jc w:val="both"/>
        <w:rPr>
          <w:rFonts w:ascii="Times New Roman" w:hAnsi="Times New Roman"/>
          <w:sz w:val="24"/>
          <w:szCs w:val="24"/>
        </w:rPr>
      </w:pPr>
      <w:r w:rsidRPr="00D72DB6">
        <w:rPr>
          <w:rFonts w:ascii="Times New Roman" w:hAnsi="Times New Roman"/>
          <w:sz w:val="24"/>
          <w:szCs w:val="24"/>
        </w:rPr>
        <w:t xml:space="preserve">Problematikat e konstatuara lidhur me nivelin e transparencës së </w:t>
      </w:r>
      <w:r w:rsidRPr="00D72DB6">
        <w:rPr>
          <w:rFonts w:ascii="Times New Roman" w:hAnsi="Times New Roman"/>
          <w:b/>
          <w:i/>
          <w:sz w:val="24"/>
          <w:szCs w:val="24"/>
        </w:rPr>
        <w:t>ministrive</w:t>
      </w:r>
      <w:r w:rsidRPr="00D72DB6">
        <w:rPr>
          <w:rFonts w:ascii="Times New Roman" w:hAnsi="Times New Roman"/>
          <w:sz w:val="24"/>
          <w:szCs w:val="24"/>
        </w:rPr>
        <w:t xml:space="preserve"> janë:</w:t>
      </w:r>
    </w:p>
    <w:p w:rsidR="00D72DB6" w:rsidRPr="00D72DB6" w:rsidRDefault="00D72DB6" w:rsidP="00D72DB6">
      <w:pPr>
        <w:pStyle w:val="ListParagraph"/>
        <w:numPr>
          <w:ilvl w:val="0"/>
          <w:numId w:val="3"/>
        </w:numPr>
        <w:spacing w:after="120" w:line="360" w:lineRule="auto"/>
        <w:ind w:left="357" w:hanging="357"/>
        <w:jc w:val="both"/>
        <w:rPr>
          <w:rFonts w:ascii="Times New Roman" w:hAnsi="Times New Roman"/>
          <w:sz w:val="24"/>
          <w:szCs w:val="24"/>
        </w:rPr>
      </w:pPr>
      <w:r w:rsidRPr="00D72DB6">
        <w:rPr>
          <w:rFonts w:ascii="Times New Roman" w:hAnsi="Times New Roman"/>
          <w:sz w:val="24"/>
          <w:szCs w:val="24"/>
        </w:rPr>
        <w:t xml:space="preserve">Programet e transparencës nuk janë të përditësuara dhe mungon një pjesë e dokumenteve të cilat duhet të jenë të publikuara, në kuptim të nenit 7, të ligjit “Për të drejtën e informimit”; </w:t>
      </w:r>
    </w:p>
    <w:p w:rsidR="00D72DB6" w:rsidRPr="00D72DB6" w:rsidRDefault="00D72DB6" w:rsidP="00D72DB6">
      <w:pPr>
        <w:pStyle w:val="ListParagraph"/>
        <w:numPr>
          <w:ilvl w:val="0"/>
          <w:numId w:val="3"/>
        </w:numPr>
        <w:spacing w:after="120" w:line="360" w:lineRule="auto"/>
        <w:ind w:left="357" w:hanging="357"/>
        <w:jc w:val="both"/>
        <w:rPr>
          <w:rFonts w:ascii="Times New Roman" w:hAnsi="Times New Roman"/>
          <w:sz w:val="24"/>
          <w:szCs w:val="24"/>
        </w:rPr>
      </w:pPr>
      <w:r w:rsidRPr="00D72DB6">
        <w:rPr>
          <w:rFonts w:ascii="Times New Roman" w:hAnsi="Times New Roman"/>
          <w:sz w:val="24"/>
          <w:szCs w:val="24"/>
        </w:rPr>
        <w:t>Gjuha e përdorur nuk është lehtësisht e kuptueshme për qytetarët dhe materialet në programin e transparencës nuk janë të linkuara;</w:t>
      </w:r>
    </w:p>
    <w:p w:rsidR="00D72DB6" w:rsidRPr="00D72DB6" w:rsidRDefault="00D72DB6" w:rsidP="00D72DB6">
      <w:pPr>
        <w:pStyle w:val="ListParagraph"/>
        <w:numPr>
          <w:ilvl w:val="0"/>
          <w:numId w:val="3"/>
        </w:numPr>
        <w:spacing w:after="120" w:line="360" w:lineRule="auto"/>
        <w:ind w:left="357" w:hanging="357"/>
        <w:jc w:val="both"/>
        <w:rPr>
          <w:rFonts w:ascii="Times New Roman" w:hAnsi="Times New Roman"/>
          <w:sz w:val="24"/>
          <w:szCs w:val="24"/>
        </w:rPr>
      </w:pPr>
      <w:r w:rsidRPr="00D72DB6">
        <w:rPr>
          <w:rFonts w:ascii="Times New Roman" w:hAnsi="Times New Roman"/>
          <w:sz w:val="24"/>
          <w:szCs w:val="24"/>
        </w:rPr>
        <w:t xml:space="preserve">Programi i transparencës nuk është ikonë parësore në faqen e internetit; </w:t>
      </w:r>
    </w:p>
    <w:p w:rsidR="00D72DB6" w:rsidRPr="00D72DB6" w:rsidRDefault="00D72DB6" w:rsidP="00D72DB6">
      <w:pPr>
        <w:pStyle w:val="ListParagraph"/>
        <w:numPr>
          <w:ilvl w:val="0"/>
          <w:numId w:val="3"/>
        </w:numPr>
        <w:spacing w:after="240" w:line="360" w:lineRule="auto"/>
        <w:ind w:left="357" w:hanging="357"/>
        <w:jc w:val="both"/>
        <w:rPr>
          <w:rFonts w:ascii="Times New Roman" w:hAnsi="Times New Roman"/>
          <w:sz w:val="24"/>
          <w:szCs w:val="24"/>
        </w:rPr>
      </w:pPr>
      <w:r w:rsidRPr="00D72DB6">
        <w:rPr>
          <w:rFonts w:ascii="Times New Roman" w:hAnsi="Times New Roman"/>
          <w:sz w:val="24"/>
          <w:szCs w:val="24"/>
        </w:rPr>
        <w:t xml:space="preserve">Konstatohet se koordinatorët e të drejtës për informim, janë në nivel specialisti dhe kanë akses të limituar në strukturat e tjera të ministrisë. Kjo sjell vështirësi në vënien në dispozicion të dokumentacionit të kërkuar brenda afatit 10 ditor. Gjithashtu, janë konstatuar shumë raste kur kërkesat për informacion nuk kalojnë te koordinatori, por delegohen në struktura të tjera të ministrisë. </w:t>
      </w:r>
    </w:p>
    <w:p w:rsidR="00D72DB6" w:rsidRPr="00D72DB6" w:rsidRDefault="00D72DB6" w:rsidP="00D72DB6">
      <w:pPr>
        <w:spacing w:line="360" w:lineRule="auto"/>
        <w:jc w:val="both"/>
        <w:rPr>
          <w:rFonts w:ascii="Times New Roman" w:hAnsi="Times New Roman"/>
          <w:sz w:val="24"/>
          <w:szCs w:val="24"/>
        </w:rPr>
      </w:pPr>
      <w:r w:rsidRPr="00D72DB6">
        <w:rPr>
          <w:rFonts w:ascii="Times New Roman" w:hAnsi="Times New Roman"/>
          <w:sz w:val="24"/>
          <w:szCs w:val="24"/>
        </w:rPr>
        <w:t xml:space="preserve">Gjatë vitit 2017, koordinatorët e të drejtës për informim të ministrive kanë trajtuar gjithsej </w:t>
      </w:r>
      <w:r w:rsidRPr="00D72DB6">
        <w:rPr>
          <w:rFonts w:ascii="Times New Roman" w:hAnsi="Times New Roman"/>
          <w:b/>
          <w:sz w:val="24"/>
          <w:szCs w:val="24"/>
        </w:rPr>
        <w:t>417</w:t>
      </w:r>
      <w:r w:rsidRPr="00D72DB6">
        <w:rPr>
          <w:rFonts w:ascii="Times New Roman" w:hAnsi="Times New Roman"/>
          <w:sz w:val="24"/>
          <w:szCs w:val="24"/>
        </w:rPr>
        <w:t xml:space="preserve"> kërkesa për informacion publik dhe vetëm </w:t>
      </w:r>
      <w:r w:rsidRPr="00D72DB6">
        <w:rPr>
          <w:rFonts w:ascii="Times New Roman" w:hAnsi="Times New Roman"/>
          <w:b/>
          <w:sz w:val="24"/>
          <w:szCs w:val="24"/>
        </w:rPr>
        <w:t>3</w:t>
      </w:r>
      <w:r w:rsidRPr="00D72DB6">
        <w:rPr>
          <w:rFonts w:ascii="Times New Roman" w:hAnsi="Times New Roman"/>
          <w:sz w:val="24"/>
          <w:szCs w:val="24"/>
        </w:rPr>
        <w:t xml:space="preserve"> prej tyre janë refuzuar. </w:t>
      </w:r>
    </w:p>
    <w:p w:rsidR="00D72DB6" w:rsidRPr="00D72DB6" w:rsidRDefault="00D72DB6" w:rsidP="00D72DB6">
      <w:pPr>
        <w:spacing w:after="0" w:line="360" w:lineRule="auto"/>
        <w:jc w:val="both"/>
        <w:rPr>
          <w:rFonts w:ascii="Times New Roman" w:hAnsi="Times New Roman"/>
          <w:sz w:val="24"/>
          <w:szCs w:val="24"/>
        </w:rPr>
      </w:pPr>
      <w:r w:rsidRPr="00D72DB6">
        <w:rPr>
          <w:rFonts w:ascii="Times New Roman" w:hAnsi="Times New Roman"/>
          <w:sz w:val="24"/>
          <w:szCs w:val="24"/>
        </w:rPr>
        <w:t xml:space="preserve">Autoritetet publike duhet të përditësojnë programet e transparencës. Koordinatorët e të drejtës për informim nuk zotërojnë njohuritë e mjaftueshme për kuadrin ligjor çka sjell që </w:t>
      </w:r>
      <w:r w:rsidRPr="00D72DB6">
        <w:rPr>
          <w:rFonts w:ascii="Times New Roman" w:hAnsi="Times New Roman"/>
          <w:sz w:val="24"/>
          <w:szCs w:val="24"/>
        </w:rPr>
        <w:lastRenderedPageBreak/>
        <w:t xml:space="preserve">implementimi i këtij ligji të mos jetë në nivelin e duhur. Gjuha në të cilën publikohen dokumentet duhet të jetë lehtësisht e lexueshme nga qytetarët.  </w:t>
      </w:r>
    </w:p>
    <w:p w:rsidR="00D72DB6" w:rsidRPr="00D72DB6" w:rsidRDefault="00D72DB6" w:rsidP="00D72DB6">
      <w:pPr>
        <w:spacing w:after="0" w:line="360" w:lineRule="auto"/>
        <w:jc w:val="both"/>
        <w:rPr>
          <w:rFonts w:ascii="Times New Roman" w:hAnsi="Times New Roman"/>
          <w:sz w:val="24"/>
          <w:szCs w:val="24"/>
        </w:rPr>
      </w:pPr>
      <w:r w:rsidRPr="00D72DB6">
        <w:rPr>
          <w:rFonts w:ascii="Times New Roman" w:hAnsi="Times New Roman"/>
          <w:sz w:val="24"/>
          <w:szCs w:val="24"/>
        </w:rPr>
        <w:t xml:space="preserve">Gjithashtu, zbatimi i standardeve më të mira ndërkombëtare kërkon që koordinatorët të jenë të trajnuar dhe të kualifikuar madje të jenë dhe të stimuluar financiarisht. Për sa më sipër, vijon puna për të ofruar trajnime për zbatimin sa më të saktë të </w:t>
      </w:r>
      <w:r w:rsidRPr="00D72DB6">
        <w:rPr>
          <w:rFonts w:ascii="Times New Roman" w:hAnsi="Times New Roman"/>
          <w:color w:val="000000" w:themeColor="text1"/>
          <w:sz w:val="24"/>
          <w:szCs w:val="24"/>
        </w:rPr>
        <w:t>ligjit “</w:t>
      </w:r>
      <w:r w:rsidRPr="00D72DB6">
        <w:rPr>
          <w:rFonts w:ascii="Times New Roman" w:hAnsi="Times New Roman"/>
          <w:sz w:val="24"/>
          <w:szCs w:val="24"/>
        </w:rPr>
        <w:t xml:space="preserve">Për të drejtën e informimit” dhe për të rritur ndërgjegjësimin e autoriteteve publike për t’iu përgjigjur kërkesave të qytetarëve sipas parashikimeve ligjore. </w:t>
      </w:r>
    </w:p>
    <w:p w:rsidR="00D72DB6" w:rsidRPr="00D72DB6" w:rsidRDefault="00D72DB6" w:rsidP="00D72DB6">
      <w:pPr>
        <w:spacing w:after="0" w:line="360" w:lineRule="auto"/>
        <w:jc w:val="both"/>
        <w:rPr>
          <w:rFonts w:ascii="Times New Roman" w:hAnsi="Times New Roman"/>
          <w:sz w:val="24"/>
          <w:szCs w:val="24"/>
        </w:rPr>
      </w:pPr>
    </w:p>
    <w:p w:rsidR="00D72DB6" w:rsidRPr="00D72DB6" w:rsidRDefault="00D72DB6" w:rsidP="00D72DB6">
      <w:pPr>
        <w:pStyle w:val="Heading2"/>
        <w:rPr>
          <w:rFonts w:ascii="Times New Roman" w:hAnsi="Times New Roman" w:cs="Times New Roman"/>
          <w:sz w:val="24"/>
          <w:szCs w:val="24"/>
        </w:rPr>
      </w:pPr>
      <w:bookmarkStart w:id="4" w:name="_Toc507424878"/>
      <w:r w:rsidRPr="00D72DB6">
        <w:rPr>
          <w:rFonts w:ascii="Times New Roman" w:hAnsi="Times New Roman" w:cs="Times New Roman"/>
          <w:sz w:val="24"/>
          <w:szCs w:val="24"/>
        </w:rPr>
        <w:t>2.2 Trajtimi i ankesave</w:t>
      </w:r>
      <w:bookmarkEnd w:id="4"/>
    </w:p>
    <w:p w:rsidR="00D72DB6" w:rsidRPr="00D72DB6" w:rsidRDefault="00D72DB6" w:rsidP="00D72DB6">
      <w:pPr>
        <w:spacing w:after="0" w:line="360" w:lineRule="auto"/>
        <w:jc w:val="both"/>
        <w:rPr>
          <w:rFonts w:ascii="Times New Roman" w:hAnsi="Times New Roman"/>
          <w:sz w:val="24"/>
          <w:szCs w:val="24"/>
        </w:rPr>
      </w:pPr>
    </w:p>
    <w:p w:rsidR="00D72DB6" w:rsidRPr="00D72DB6" w:rsidRDefault="00D72DB6" w:rsidP="00D72DB6">
      <w:pPr>
        <w:spacing w:after="0" w:line="360" w:lineRule="auto"/>
        <w:jc w:val="both"/>
        <w:rPr>
          <w:rFonts w:ascii="Times New Roman" w:hAnsi="Times New Roman"/>
          <w:sz w:val="24"/>
          <w:szCs w:val="24"/>
        </w:rPr>
      </w:pPr>
      <w:r w:rsidRPr="00D72DB6">
        <w:rPr>
          <w:rFonts w:ascii="Times New Roman" w:hAnsi="Times New Roman"/>
          <w:sz w:val="24"/>
          <w:szCs w:val="24"/>
        </w:rPr>
        <w:t xml:space="preserve">Në zbatim të ligjit nr.119/2014 “Për të drejtën e informimit” gjatë vitit 2017, pranë Zyrës së Komisionerit u depozituan </w:t>
      </w:r>
      <w:r w:rsidRPr="00D72DB6">
        <w:rPr>
          <w:rFonts w:ascii="Times New Roman" w:hAnsi="Times New Roman"/>
          <w:b/>
          <w:sz w:val="24"/>
          <w:szCs w:val="24"/>
        </w:rPr>
        <w:t>560 ankesa</w:t>
      </w:r>
      <w:r w:rsidRPr="00D72DB6">
        <w:rPr>
          <w:rFonts w:ascii="Times New Roman" w:hAnsi="Times New Roman"/>
          <w:sz w:val="24"/>
          <w:szCs w:val="24"/>
        </w:rPr>
        <w:t xml:space="preserve">, prej të cilave </w:t>
      </w:r>
      <w:r w:rsidRPr="00D72DB6">
        <w:rPr>
          <w:rFonts w:ascii="Times New Roman" w:hAnsi="Times New Roman"/>
          <w:b/>
          <w:sz w:val="24"/>
          <w:szCs w:val="24"/>
        </w:rPr>
        <w:t>395</w:t>
      </w:r>
      <w:r w:rsidRPr="00D72DB6">
        <w:rPr>
          <w:rFonts w:ascii="Times New Roman" w:hAnsi="Times New Roman"/>
          <w:sz w:val="24"/>
          <w:szCs w:val="24"/>
        </w:rPr>
        <w:t xml:space="preserve"> janë zgjidhur me ndërmjetësim. Për </w:t>
      </w:r>
      <w:r w:rsidRPr="00D72DB6">
        <w:rPr>
          <w:rFonts w:ascii="Times New Roman" w:hAnsi="Times New Roman"/>
          <w:b/>
          <w:sz w:val="24"/>
          <w:szCs w:val="24"/>
        </w:rPr>
        <w:t xml:space="preserve">66 </w:t>
      </w:r>
      <w:r w:rsidRPr="00D72DB6">
        <w:rPr>
          <w:rFonts w:ascii="Times New Roman" w:hAnsi="Times New Roman"/>
          <w:sz w:val="24"/>
          <w:szCs w:val="24"/>
        </w:rPr>
        <w:t>nga këto</w:t>
      </w:r>
      <w:r w:rsidRPr="00D72DB6">
        <w:rPr>
          <w:rFonts w:ascii="Times New Roman" w:hAnsi="Times New Roman"/>
          <w:b/>
          <w:sz w:val="24"/>
          <w:szCs w:val="24"/>
        </w:rPr>
        <w:t xml:space="preserve"> </w:t>
      </w:r>
      <w:r w:rsidRPr="00D72DB6">
        <w:rPr>
          <w:rFonts w:ascii="Times New Roman" w:hAnsi="Times New Roman"/>
          <w:sz w:val="24"/>
          <w:szCs w:val="24"/>
        </w:rPr>
        <w:t xml:space="preserve">ankesa, Komisioneri është shprehur me “Vendim”. </w:t>
      </w:r>
      <w:r w:rsidRPr="00D72DB6">
        <w:rPr>
          <w:rFonts w:ascii="Times New Roman" w:hAnsi="Times New Roman"/>
          <w:b/>
          <w:sz w:val="24"/>
          <w:szCs w:val="24"/>
        </w:rPr>
        <w:t xml:space="preserve">77 </w:t>
      </w:r>
      <w:r w:rsidRPr="00D72DB6">
        <w:rPr>
          <w:rFonts w:ascii="Times New Roman" w:hAnsi="Times New Roman"/>
          <w:sz w:val="24"/>
          <w:szCs w:val="24"/>
        </w:rPr>
        <w:t xml:space="preserve">ankesa kanë rezultuar jashtë objektit. </w:t>
      </w:r>
      <w:r w:rsidRPr="00D72DB6">
        <w:rPr>
          <w:rFonts w:ascii="Times New Roman" w:hAnsi="Times New Roman"/>
          <w:b/>
          <w:sz w:val="24"/>
          <w:szCs w:val="24"/>
        </w:rPr>
        <w:t xml:space="preserve">8 </w:t>
      </w:r>
      <w:r w:rsidRPr="00D72DB6">
        <w:rPr>
          <w:rFonts w:ascii="Times New Roman" w:hAnsi="Times New Roman"/>
          <w:sz w:val="24"/>
          <w:szCs w:val="24"/>
        </w:rPr>
        <w:t xml:space="preserve">ankesa kanë qenë jashtë afatit dhe </w:t>
      </w:r>
      <w:r w:rsidRPr="00D72DB6">
        <w:rPr>
          <w:rFonts w:ascii="Times New Roman" w:hAnsi="Times New Roman"/>
          <w:b/>
          <w:sz w:val="24"/>
          <w:szCs w:val="24"/>
        </w:rPr>
        <w:t xml:space="preserve">14 </w:t>
      </w:r>
      <w:r w:rsidRPr="00D72DB6">
        <w:rPr>
          <w:rFonts w:ascii="Times New Roman" w:hAnsi="Times New Roman"/>
          <w:sz w:val="24"/>
          <w:szCs w:val="24"/>
        </w:rPr>
        <w:t xml:space="preserve">ankesa kanë rezultuar të paplota. </w:t>
      </w:r>
    </w:p>
    <w:p w:rsidR="00D72DB6" w:rsidRPr="00D72DB6" w:rsidRDefault="00D72DB6" w:rsidP="00D72DB6">
      <w:pPr>
        <w:spacing w:after="0" w:line="360" w:lineRule="auto"/>
        <w:jc w:val="both"/>
        <w:rPr>
          <w:rFonts w:ascii="Times New Roman" w:eastAsia="Times New Roman" w:hAnsi="Times New Roman"/>
          <w:noProof/>
          <w:sz w:val="24"/>
          <w:szCs w:val="24"/>
        </w:rPr>
      </w:pPr>
      <w:r w:rsidRPr="00D72DB6">
        <w:rPr>
          <w:rFonts w:ascii="Times New Roman" w:hAnsi="Times New Roman"/>
          <w:sz w:val="24"/>
          <w:szCs w:val="24"/>
        </w:rPr>
        <w:t xml:space="preserve">Fakti që pjesa më e madhe e ankesave janë zgjidhur me ndërmjetësim tregon efektivitetin e ndërhyrjes së Zyrës së Komisionerit. </w:t>
      </w:r>
      <w:r w:rsidRPr="00D72DB6">
        <w:rPr>
          <w:rFonts w:ascii="Times New Roman" w:eastAsia="Times New Roman" w:hAnsi="Times New Roman"/>
          <w:noProof/>
          <w:sz w:val="24"/>
          <w:szCs w:val="24"/>
        </w:rPr>
        <w:t xml:space="preserve">Pjesa më e madhe e ankesave të shqyrtuara nga Zyra e Komisionerit kanë qenë ankesa të drejtuara nga qytetarët. Konkretisht </w:t>
      </w:r>
      <w:r w:rsidRPr="00D72DB6">
        <w:rPr>
          <w:rFonts w:ascii="Times New Roman" w:eastAsia="Times New Roman" w:hAnsi="Times New Roman"/>
          <w:b/>
          <w:noProof/>
          <w:sz w:val="24"/>
          <w:szCs w:val="24"/>
        </w:rPr>
        <w:t>430</w:t>
      </w:r>
      <w:r w:rsidRPr="00D72DB6">
        <w:rPr>
          <w:rFonts w:ascii="Times New Roman" w:eastAsia="Times New Roman" w:hAnsi="Times New Roman"/>
          <w:noProof/>
          <w:sz w:val="24"/>
          <w:szCs w:val="24"/>
        </w:rPr>
        <w:t xml:space="preserve"> ankesa janë depozituar nga qytetarët ndërsa </w:t>
      </w:r>
      <w:r w:rsidRPr="00D72DB6">
        <w:rPr>
          <w:rFonts w:ascii="Times New Roman" w:eastAsia="Times New Roman" w:hAnsi="Times New Roman"/>
          <w:b/>
          <w:noProof/>
          <w:sz w:val="24"/>
          <w:szCs w:val="24"/>
        </w:rPr>
        <w:t>130</w:t>
      </w:r>
      <w:r w:rsidRPr="00D72DB6">
        <w:rPr>
          <w:rFonts w:ascii="Times New Roman" w:eastAsia="Times New Roman" w:hAnsi="Times New Roman"/>
          <w:noProof/>
          <w:sz w:val="24"/>
          <w:szCs w:val="24"/>
        </w:rPr>
        <w:t xml:space="preserve"> ankesa janë depozituar nga OJF. Fakti që numri më i madh i ankesave vinë nga qytetarët është një tregues mjaft i mirë i impaktit të ndërgjegjësimit të qytetarëve mbi të drejtën e informimit.  </w:t>
      </w:r>
    </w:p>
    <w:p w:rsidR="00D72DB6" w:rsidRPr="00D72DB6" w:rsidRDefault="00D72DB6" w:rsidP="00D72DB6">
      <w:pPr>
        <w:spacing w:after="0" w:line="360" w:lineRule="auto"/>
        <w:jc w:val="both"/>
        <w:rPr>
          <w:rFonts w:ascii="Times New Roman" w:eastAsia="Times New Roman" w:hAnsi="Times New Roman"/>
          <w:noProof/>
          <w:sz w:val="24"/>
          <w:szCs w:val="24"/>
        </w:rPr>
      </w:pPr>
    </w:p>
    <w:p w:rsidR="00D72DB6" w:rsidRPr="00D72DB6" w:rsidRDefault="00D72DB6" w:rsidP="00D72DB6">
      <w:pPr>
        <w:spacing w:after="0" w:line="360" w:lineRule="auto"/>
        <w:jc w:val="both"/>
        <w:rPr>
          <w:rFonts w:ascii="Times New Roman" w:eastAsia="Times New Roman" w:hAnsi="Times New Roman"/>
          <w:noProof/>
          <w:sz w:val="24"/>
          <w:szCs w:val="24"/>
        </w:rPr>
      </w:pPr>
    </w:p>
    <w:p w:rsidR="00D72DB6" w:rsidRPr="00D72DB6" w:rsidRDefault="00D72DB6" w:rsidP="00D72DB6">
      <w:pPr>
        <w:spacing w:after="0" w:line="360" w:lineRule="auto"/>
        <w:jc w:val="both"/>
        <w:rPr>
          <w:rFonts w:ascii="Times New Roman" w:eastAsia="Times New Roman" w:hAnsi="Times New Roman"/>
          <w:noProof/>
          <w:sz w:val="24"/>
          <w:szCs w:val="24"/>
        </w:rPr>
      </w:pPr>
    </w:p>
    <w:p w:rsidR="00D72DB6" w:rsidRPr="00D72DB6" w:rsidRDefault="00D72DB6" w:rsidP="00D72DB6">
      <w:pPr>
        <w:spacing w:after="0" w:line="360" w:lineRule="auto"/>
        <w:jc w:val="both"/>
        <w:rPr>
          <w:rFonts w:ascii="Times New Roman" w:hAnsi="Times New Roman"/>
          <w:b/>
          <w:sz w:val="24"/>
          <w:szCs w:val="24"/>
        </w:rPr>
      </w:pPr>
      <w:r w:rsidRPr="00D72DB6">
        <w:rPr>
          <w:rFonts w:ascii="Times New Roman" w:hAnsi="Times New Roman"/>
          <w:noProof/>
          <w:sz w:val="24"/>
          <w:szCs w:val="24"/>
          <w:lang w:eastAsia="sq-AL"/>
        </w:rPr>
        <w:drawing>
          <wp:inline distT="0" distB="0" distL="0" distR="0">
            <wp:extent cx="6315075" cy="305752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D72DB6" w:rsidRPr="00D72DB6" w:rsidRDefault="00D72DB6" w:rsidP="00D72DB6">
      <w:pPr>
        <w:spacing w:after="0" w:line="360" w:lineRule="auto"/>
        <w:jc w:val="both"/>
        <w:rPr>
          <w:rFonts w:ascii="Times New Roman" w:hAnsi="Times New Roman"/>
          <w:b/>
          <w:sz w:val="24"/>
          <w:szCs w:val="24"/>
          <w:u w:val="single"/>
        </w:rPr>
      </w:pPr>
    </w:p>
    <w:p w:rsidR="00D72DB6" w:rsidRPr="00D72DB6" w:rsidRDefault="00D72DB6" w:rsidP="00D72DB6">
      <w:pPr>
        <w:spacing w:after="0" w:line="360" w:lineRule="auto"/>
        <w:jc w:val="both"/>
        <w:rPr>
          <w:rFonts w:ascii="Times New Roman" w:hAnsi="Times New Roman"/>
          <w:b/>
          <w:sz w:val="24"/>
          <w:szCs w:val="24"/>
          <w:u w:val="single"/>
        </w:rPr>
      </w:pPr>
    </w:p>
    <w:p w:rsidR="00D72DB6" w:rsidRPr="00D72DB6" w:rsidRDefault="00D72DB6" w:rsidP="00D72DB6">
      <w:pPr>
        <w:spacing w:after="0" w:line="360" w:lineRule="auto"/>
        <w:jc w:val="both"/>
        <w:rPr>
          <w:rFonts w:ascii="Times New Roman" w:hAnsi="Times New Roman"/>
          <w:b/>
          <w:sz w:val="24"/>
          <w:szCs w:val="24"/>
          <w:u w:val="single"/>
        </w:rPr>
      </w:pPr>
    </w:p>
    <w:p w:rsidR="00D72DB6" w:rsidRPr="00D72DB6" w:rsidRDefault="00D72DB6" w:rsidP="00D72DB6">
      <w:pPr>
        <w:spacing w:after="0" w:line="360" w:lineRule="auto"/>
        <w:jc w:val="both"/>
        <w:rPr>
          <w:rFonts w:ascii="Times New Roman" w:hAnsi="Times New Roman"/>
          <w:b/>
          <w:color w:val="0070C0"/>
          <w:sz w:val="24"/>
          <w:szCs w:val="24"/>
          <w:u w:val="single"/>
        </w:rPr>
      </w:pPr>
      <w:r w:rsidRPr="00D72DB6">
        <w:rPr>
          <w:rFonts w:ascii="Times New Roman" w:hAnsi="Times New Roman"/>
          <w:b/>
          <w:sz w:val="24"/>
          <w:szCs w:val="24"/>
          <w:u w:val="single"/>
        </w:rPr>
        <w:t>Ankesa në vite 2014-2017</w:t>
      </w:r>
    </w:p>
    <w:p w:rsidR="00D72DB6" w:rsidRPr="00D72DB6" w:rsidRDefault="00D72DB6" w:rsidP="00D72DB6">
      <w:pPr>
        <w:spacing w:after="0" w:line="360" w:lineRule="auto"/>
        <w:jc w:val="both"/>
        <w:rPr>
          <w:rFonts w:ascii="Times New Roman" w:hAnsi="Times New Roman"/>
          <w:b/>
          <w:color w:val="0070C0"/>
          <w:sz w:val="24"/>
          <w:szCs w:val="24"/>
        </w:rPr>
      </w:pPr>
      <w:r w:rsidRPr="00D72DB6">
        <w:rPr>
          <w:rFonts w:ascii="Times New Roman" w:hAnsi="Times New Roman"/>
          <w:b/>
          <w:noProof/>
          <w:color w:val="0070C0"/>
          <w:sz w:val="24"/>
          <w:szCs w:val="24"/>
          <w:lang w:eastAsia="sq-AL"/>
        </w:rPr>
        <w:drawing>
          <wp:inline distT="0" distB="0" distL="0" distR="0">
            <wp:extent cx="5876925" cy="1971675"/>
            <wp:effectExtent l="0" t="0" r="952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bookmarkStart w:id="5" w:name="_Toc474707648"/>
    </w:p>
    <w:p w:rsidR="00D72DB6" w:rsidRPr="00D72DB6" w:rsidRDefault="00D72DB6" w:rsidP="00D72DB6">
      <w:pPr>
        <w:spacing w:after="0" w:line="360" w:lineRule="auto"/>
        <w:jc w:val="both"/>
        <w:rPr>
          <w:rFonts w:ascii="Times New Roman" w:hAnsi="Times New Roman"/>
          <w:sz w:val="24"/>
          <w:szCs w:val="24"/>
        </w:rPr>
      </w:pPr>
    </w:p>
    <w:p w:rsidR="00D72DB6" w:rsidRPr="00D72DB6" w:rsidRDefault="00D72DB6" w:rsidP="00D72DB6">
      <w:pPr>
        <w:spacing w:after="0" w:line="360" w:lineRule="auto"/>
        <w:jc w:val="both"/>
        <w:rPr>
          <w:rFonts w:ascii="Times New Roman" w:hAnsi="Times New Roman"/>
          <w:sz w:val="24"/>
          <w:szCs w:val="24"/>
        </w:rPr>
      </w:pPr>
      <w:r w:rsidRPr="00D72DB6">
        <w:rPr>
          <w:rFonts w:ascii="Times New Roman" w:hAnsi="Times New Roman"/>
          <w:sz w:val="24"/>
          <w:szCs w:val="24"/>
        </w:rPr>
        <w:t xml:space="preserve">Nga grafiku i mësipërm duket që ka një rënie të numrit të ankesave nga viti 2016 në vitin 2017. </w:t>
      </w:r>
    </w:p>
    <w:p w:rsidR="00D72DB6" w:rsidRPr="00D72DB6" w:rsidRDefault="00D72DB6" w:rsidP="00D72DB6">
      <w:pPr>
        <w:spacing w:after="0" w:line="360" w:lineRule="auto"/>
        <w:jc w:val="both"/>
        <w:rPr>
          <w:rFonts w:ascii="Times New Roman" w:hAnsi="Times New Roman"/>
          <w:sz w:val="24"/>
          <w:szCs w:val="24"/>
        </w:rPr>
      </w:pPr>
      <w:r w:rsidRPr="00D72DB6">
        <w:rPr>
          <w:rFonts w:ascii="Times New Roman" w:hAnsi="Times New Roman"/>
          <w:sz w:val="24"/>
          <w:szCs w:val="24"/>
        </w:rPr>
        <w:t>Ky është një tregues që lidhet me rritjen e përgjegjshmërisë së Autoriteteve Publike në dhënien e informacionit të kërkuar, për rrjedhojë ka një rënie të lehtë në numrin ankesave drejtuar Zyrës së Komisionerit.  Një tregues që na përforcon idenë se jemi përballë një përmirësimi të situatës së transparencës nga ana e institucioneve publike, ka të bëjë edhe me numrin e vogël të refuzimit të kërkesave nga ana e autoriteteve publike siç raportohet në kapitullin 2.1</w:t>
      </w:r>
    </w:p>
    <w:p w:rsidR="00D72DB6" w:rsidRPr="00D72DB6" w:rsidRDefault="00D72DB6" w:rsidP="00D72DB6">
      <w:pPr>
        <w:spacing w:after="0" w:line="360" w:lineRule="auto"/>
        <w:jc w:val="both"/>
        <w:rPr>
          <w:rFonts w:ascii="Times New Roman" w:hAnsi="Times New Roman"/>
          <w:color w:val="FF0000"/>
          <w:sz w:val="24"/>
          <w:szCs w:val="24"/>
        </w:rPr>
      </w:pPr>
    </w:p>
    <w:p w:rsidR="00D72DB6" w:rsidRPr="00D72DB6" w:rsidRDefault="00D72DB6" w:rsidP="00D72DB6">
      <w:pPr>
        <w:pStyle w:val="Heading2"/>
        <w:rPr>
          <w:rFonts w:ascii="Times New Roman" w:hAnsi="Times New Roman" w:cs="Times New Roman"/>
          <w:sz w:val="24"/>
          <w:szCs w:val="24"/>
        </w:rPr>
      </w:pPr>
      <w:bookmarkStart w:id="6" w:name="_Toc507424879"/>
      <w:r w:rsidRPr="00D72DB6">
        <w:rPr>
          <w:rFonts w:ascii="Times New Roman" w:hAnsi="Times New Roman" w:cs="Times New Roman"/>
          <w:sz w:val="24"/>
          <w:szCs w:val="24"/>
        </w:rPr>
        <w:t>2.3 Hetime administrative</w:t>
      </w:r>
      <w:bookmarkEnd w:id="5"/>
      <w:bookmarkEnd w:id="6"/>
    </w:p>
    <w:p w:rsidR="00D72DB6" w:rsidRPr="00D72DB6" w:rsidRDefault="00D72DB6" w:rsidP="00D72DB6">
      <w:pPr>
        <w:tabs>
          <w:tab w:val="left" w:pos="180"/>
          <w:tab w:val="left" w:pos="360"/>
          <w:tab w:val="left" w:pos="1170"/>
        </w:tabs>
        <w:spacing w:after="240" w:line="360" w:lineRule="auto"/>
        <w:jc w:val="both"/>
        <w:rPr>
          <w:rFonts w:ascii="Times New Roman" w:hAnsi="Times New Roman"/>
          <w:sz w:val="24"/>
          <w:szCs w:val="24"/>
        </w:rPr>
      </w:pPr>
    </w:p>
    <w:p w:rsidR="00D72DB6" w:rsidRPr="00D72DB6" w:rsidRDefault="00D72DB6" w:rsidP="00D72DB6">
      <w:pPr>
        <w:tabs>
          <w:tab w:val="left" w:pos="180"/>
          <w:tab w:val="left" w:pos="360"/>
          <w:tab w:val="left" w:pos="1170"/>
        </w:tabs>
        <w:spacing w:after="240" w:line="360" w:lineRule="auto"/>
        <w:jc w:val="both"/>
        <w:rPr>
          <w:rFonts w:ascii="Times New Roman" w:hAnsi="Times New Roman"/>
          <w:sz w:val="24"/>
          <w:szCs w:val="24"/>
        </w:rPr>
      </w:pPr>
      <w:r w:rsidRPr="00D72DB6">
        <w:rPr>
          <w:rFonts w:ascii="Times New Roman" w:hAnsi="Times New Roman"/>
          <w:sz w:val="24"/>
          <w:szCs w:val="24"/>
        </w:rPr>
        <w:t>Gjatë këtij viti, Zyra e Komisionerit, ka vazhduar punën për realizimin e përgjegjësisë  kryesore, mbikëqyrjen dhe garantimin e të drejtës së qytetarëve për akses në informacion publik, duke u mbështetur në vendosjen e balancës dhe respektimin e parimit të proporcionalitetit.</w:t>
      </w:r>
    </w:p>
    <w:p w:rsidR="00D72DB6" w:rsidRPr="00D72DB6" w:rsidRDefault="00D72DB6" w:rsidP="00D72DB6">
      <w:pPr>
        <w:tabs>
          <w:tab w:val="left" w:pos="180"/>
          <w:tab w:val="left" w:pos="360"/>
          <w:tab w:val="left" w:pos="1170"/>
        </w:tabs>
        <w:spacing w:after="240" w:line="360" w:lineRule="auto"/>
        <w:jc w:val="both"/>
        <w:rPr>
          <w:rFonts w:ascii="Times New Roman" w:hAnsi="Times New Roman"/>
          <w:sz w:val="24"/>
          <w:szCs w:val="24"/>
        </w:rPr>
      </w:pPr>
      <w:r w:rsidRPr="00D72DB6">
        <w:rPr>
          <w:rFonts w:ascii="Times New Roman" w:hAnsi="Times New Roman"/>
          <w:sz w:val="24"/>
          <w:szCs w:val="24"/>
        </w:rPr>
        <w:t>Zyra e Komisionerit ka realizuar</w:t>
      </w:r>
      <w:r w:rsidRPr="00D72DB6">
        <w:rPr>
          <w:rFonts w:ascii="Times New Roman" w:hAnsi="Times New Roman"/>
          <w:b/>
          <w:sz w:val="24"/>
          <w:szCs w:val="24"/>
        </w:rPr>
        <w:t xml:space="preserve">  98 </w:t>
      </w:r>
      <w:r w:rsidRPr="00D72DB6">
        <w:rPr>
          <w:rFonts w:ascii="Times New Roman" w:hAnsi="Times New Roman"/>
          <w:sz w:val="24"/>
          <w:szCs w:val="24"/>
        </w:rPr>
        <w:t xml:space="preserve">hetime administrative në fushën e të drejtës për informim me synim verifikimin e ankesave të depozituara. Janë dërguar pranë Autoriteteve Publike </w:t>
      </w:r>
      <w:r w:rsidRPr="00D72DB6">
        <w:rPr>
          <w:rFonts w:ascii="Times New Roman" w:hAnsi="Times New Roman"/>
          <w:b/>
          <w:sz w:val="24"/>
          <w:szCs w:val="24"/>
        </w:rPr>
        <w:t>252</w:t>
      </w:r>
      <w:r w:rsidRPr="00D72DB6">
        <w:rPr>
          <w:rFonts w:ascii="Times New Roman" w:hAnsi="Times New Roman"/>
          <w:sz w:val="24"/>
          <w:szCs w:val="24"/>
        </w:rPr>
        <w:t xml:space="preserve"> </w:t>
      </w:r>
      <w:r w:rsidRPr="00D72DB6">
        <w:rPr>
          <w:rFonts w:ascii="Times New Roman" w:hAnsi="Times New Roman"/>
          <w:b/>
          <w:sz w:val="24"/>
          <w:szCs w:val="24"/>
        </w:rPr>
        <w:t xml:space="preserve">kërkesa </w:t>
      </w:r>
      <w:r w:rsidRPr="00D72DB6">
        <w:rPr>
          <w:rFonts w:ascii="Times New Roman" w:hAnsi="Times New Roman"/>
          <w:sz w:val="24"/>
          <w:szCs w:val="24"/>
        </w:rPr>
        <w:t xml:space="preserve">për parashtrime ndërsa </w:t>
      </w:r>
      <w:r w:rsidRPr="00D72DB6">
        <w:rPr>
          <w:rFonts w:ascii="Times New Roman" w:hAnsi="Times New Roman"/>
          <w:b/>
          <w:sz w:val="24"/>
          <w:szCs w:val="24"/>
        </w:rPr>
        <w:t>24 ankesa</w:t>
      </w:r>
      <w:r w:rsidRPr="00D72DB6">
        <w:rPr>
          <w:rFonts w:ascii="Times New Roman" w:hAnsi="Times New Roman"/>
          <w:sz w:val="24"/>
          <w:szCs w:val="24"/>
        </w:rPr>
        <w:t xml:space="preserve"> vijojnë të jenë në proces. Gjithashtu, janë dhënë </w:t>
      </w:r>
      <w:r w:rsidRPr="00D72DB6">
        <w:rPr>
          <w:rFonts w:ascii="Times New Roman" w:hAnsi="Times New Roman"/>
          <w:b/>
          <w:sz w:val="24"/>
          <w:szCs w:val="24"/>
        </w:rPr>
        <w:t>66</w:t>
      </w:r>
      <w:r w:rsidRPr="00D72DB6">
        <w:rPr>
          <w:rFonts w:ascii="Times New Roman" w:hAnsi="Times New Roman"/>
          <w:sz w:val="24"/>
          <w:szCs w:val="24"/>
        </w:rPr>
        <w:t xml:space="preserve"> vendime për Autoritetet Publike, prej të cilave </w:t>
      </w:r>
      <w:r w:rsidRPr="00D72DB6">
        <w:rPr>
          <w:rFonts w:ascii="Times New Roman" w:hAnsi="Times New Roman"/>
          <w:b/>
          <w:sz w:val="24"/>
          <w:szCs w:val="24"/>
        </w:rPr>
        <w:t>57</w:t>
      </w:r>
      <w:r w:rsidRPr="00D72DB6">
        <w:rPr>
          <w:rFonts w:ascii="Times New Roman" w:hAnsi="Times New Roman"/>
          <w:sz w:val="24"/>
          <w:szCs w:val="24"/>
        </w:rPr>
        <w:t xml:space="preserve"> vendime urdhërimi, </w:t>
      </w:r>
      <w:r w:rsidRPr="00D72DB6">
        <w:rPr>
          <w:rFonts w:ascii="Times New Roman" w:hAnsi="Times New Roman"/>
          <w:b/>
          <w:sz w:val="24"/>
          <w:szCs w:val="24"/>
        </w:rPr>
        <w:t>3</w:t>
      </w:r>
      <w:r w:rsidRPr="00D72DB6">
        <w:rPr>
          <w:rFonts w:ascii="Times New Roman" w:hAnsi="Times New Roman"/>
          <w:sz w:val="24"/>
          <w:szCs w:val="24"/>
        </w:rPr>
        <w:t xml:space="preserve"> vendime rrëzimi, si dhe </w:t>
      </w:r>
      <w:r w:rsidRPr="00D72DB6">
        <w:rPr>
          <w:rFonts w:ascii="Times New Roman" w:hAnsi="Times New Roman"/>
          <w:b/>
          <w:sz w:val="24"/>
          <w:szCs w:val="24"/>
        </w:rPr>
        <w:t>6</w:t>
      </w:r>
      <w:r w:rsidRPr="00D72DB6">
        <w:rPr>
          <w:rFonts w:ascii="Times New Roman" w:hAnsi="Times New Roman"/>
          <w:sz w:val="24"/>
          <w:szCs w:val="24"/>
        </w:rPr>
        <w:t xml:space="preserve"> vendime me sanksion gjobë. Gjatë këtij viti janë realizuar </w:t>
      </w:r>
      <w:r w:rsidRPr="00D72DB6">
        <w:rPr>
          <w:rFonts w:ascii="Times New Roman" w:hAnsi="Times New Roman"/>
          <w:b/>
          <w:sz w:val="24"/>
          <w:szCs w:val="24"/>
        </w:rPr>
        <w:t>10</w:t>
      </w:r>
      <w:r w:rsidRPr="00D72DB6">
        <w:rPr>
          <w:rFonts w:ascii="Times New Roman" w:hAnsi="Times New Roman"/>
          <w:sz w:val="24"/>
          <w:szCs w:val="24"/>
        </w:rPr>
        <w:t xml:space="preserve"> seanca dëgjimore.</w:t>
      </w:r>
    </w:p>
    <w:p w:rsidR="00D72DB6" w:rsidRPr="00D72DB6" w:rsidRDefault="00D72DB6" w:rsidP="00D72DB6">
      <w:pPr>
        <w:spacing w:after="0" w:line="360" w:lineRule="auto"/>
        <w:jc w:val="both"/>
        <w:rPr>
          <w:rFonts w:ascii="Times New Roman" w:hAnsi="Times New Roman"/>
          <w:b/>
          <w:sz w:val="24"/>
          <w:szCs w:val="24"/>
        </w:rPr>
      </w:pPr>
      <w:r w:rsidRPr="00D72DB6">
        <w:rPr>
          <w:rFonts w:ascii="Times New Roman" w:hAnsi="Times New Roman"/>
          <w:b/>
          <w:noProof/>
          <w:color w:val="0070C0"/>
          <w:sz w:val="24"/>
          <w:szCs w:val="24"/>
          <w:lang w:eastAsia="sq-AL"/>
        </w:rPr>
        <w:lastRenderedPageBreak/>
        <w:drawing>
          <wp:inline distT="0" distB="0" distL="0" distR="0">
            <wp:extent cx="5724525" cy="2628900"/>
            <wp:effectExtent l="0" t="0" r="9525"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D72DB6" w:rsidRPr="00D72DB6" w:rsidRDefault="00D72DB6" w:rsidP="00D72DB6">
      <w:pPr>
        <w:spacing w:after="0" w:line="360" w:lineRule="auto"/>
        <w:jc w:val="both"/>
        <w:rPr>
          <w:rFonts w:ascii="Times New Roman" w:hAnsi="Times New Roman"/>
          <w:b/>
          <w:sz w:val="24"/>
          <w:szCs w:val="24"/>
        </w:rPr>
      </w:pPr>
    </w:p>
    <w:p w:rsidR="00D72DB6" w:rsidRPr="00D72DB6" w:rsidRDefault="00D72DB6" w:rsidP="00D72DB6">
      <w:pPr>
        <w:spacing w:after="0" w:line="360" w:lineRule="auto"/>
        <w:jc w:val="both"/>
        <w:rPr>
          <w:rFonts w:ascii="Times New Roman" w:hAnsi="Times New Roman"/>
          <w:b/>
          <w:sz w:val="24"/>
          <w:szCs w:val="24"/>
        </w:rPr>
      </w:pPr>
    </w:p>
    <w:p w:rsidR="00D72DB6" w:rsidRPr="00D72DB6" w:rsidRDefault="00D72DB6" w:rsidP="00D72DB6">
      <w:pPr>
        <w:spacing w:after="0" w:line="360" w:lineRule="auto"/>
        <w:jc w:val="center"/>
        <w:rPr>
          <w:rFonts w:ascii="Times New Roman" w:hAnsi="Times New Roman"/>
          <w:b/>
          <w:sz w:val="24"/>
          <w:szCs w:val="24"/>
        </w:rPr>
      </w:pPr>
      <w:r w:rsidRPr="00D72DB6">
        <w:rPr>
          <w:rFonts w:ascii="Times New Roman" w:hAnsi="Times New Roman"/>
          <w:sz w:val="24"/>
          <w:szCs w:val="24"/>
        </w:rPr>
        <w:t xml:space="preserve">Për vitin 2017 Komisioneri u shpreh me </w:t>
      </w:r>
      <w:r w:rsidRPr="00D72DB6">
        <w:rPr>
          <w:rFonts w:ascii="Times New Roman" w:hAnsi="Times New Roman"/>
          <w:b/>
          <w:sz w:val="24"/>
          <w:szCs w:val="24"/>
        </w:rPr>
        <w:t>66</w:t>
      </w:r>
      <w:r w:rsidRPr="00D72DB6">
        <w:rPr>
          <w:rFonts w:ascii="Times New Roman" w:hAnsi="Times New Roman"/>
          <w:sz w:val="24"/>
          <w:szCs w:val="24"/>
        </w:rPr>
        <w:t xml:space="preserve"> </w:t>
      </w:r>
      <w:r w:rsidRPr="00D72DB6">
        <w:rPr>
          <w:rFonts w:ascii="Times New Roman" w:hAnsi="Times New Roman"/>
          <w:b/>
          <w:sz w:val="24"/>
          <w:szCs w:val="24"/>
        </w:rPr>
        <w:t>Vendime</w:t>
      </w:r>
      <w:r w:rsidRPr="00D72DB6">
        <w:rPr>
          <w:rFonts w:ascii="Times New Roman" w:hAnsi="Times New Roman"/>
          <w:b/>
          <w:noProof/>
          <w:sz w:val="24"/>
          <w:szCs w:val="24"/>
          <w:lang w:eastAsia="sq-AL"/>
        </w:rPr>
        <w:drawing>
          <wp:inline distT="0" distB="0" distL="0" distR="0">
            <wp:extent cx="6010275" cy="2809875"/>
            <wp:effectExtent l="0" t="0" r="9525"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D72DB6" w:rsidRPr="00D72DB6" w:rsidRDefault="00D72DB6" w:rsidP="00D72DB6">
      <w:pPr>
        <w:spacing w:line="360" w:lineRule="auto"/>
        <w:jc w:val="both"/>
        <w:rPr>
          <w:rFonts w:ascii="Times New Roman" w:hAnsi="Times New Roman"/>
          <w:b/>
          <w:bCs/>
          <w:color w:val="2E74B5" w:themeColor="accent1" w:themeShade="BF"/>
          <w:sz w:val="24"/>
          <w:szCs w:val="24"/>
        </w:rPr>
      </w:pPr>
    </w:p>
    <w:p w:rsidR="00D72DB6" w:rsidRPr="00D72DB6" w:rsidRDefault="00D72DB6" w:rsidP="00D72DB6">
      <w:pPr>
        <w:pStyle w:val="Heading2"/>
        <w:rPr>
          <w:rFonts w:ascii="Times New Roman" w:hAnsi="Times New Roman" w:cs="Times New Roman"/>
          <w:sz w:val="24"/>
          <w:szCs w:val="24"/>
        </w:rPr>
      </w:pPr>
      <w:bookmarkStart w:id="7" w:name="_Toc507424880"/>
      <w:r w:rsidRPr="00D72DB6">
        <w:rPr>
          <w:rFonts w:ascii="Times New Roman" w:hAnsi="Times New Roman" w:cs="Times New Roman"/>
          <w:sz w:val="24"/>
          <w:szCs w:val="24"/>
        </w:rPr>
        <w:t>2.4 Strategji dhe indikatorë</w:t>
      </w:r>
      <w:bookmarkEnd w:id="7"/>
    </w:p>
    <w:p w:rsidR="00D72DB6" w:rsidRPr="00D72DB6" w:rsidRDefault="00D72DB6" w:rsidP="00D72DB6">
      <w:pPr>
        <w:pStyle w:val="Heading3"/>
        <w:rPr>
          <w:rFonts w:ascii="Times New Roman" w:hAnsi="Times New Roman" w:cs="Times New Roman"/>
        </w:rPr>
      </w:pPr>
    </w:p>
    <w:p w:rsidR="00D72DB6" w:rsidRPr="00D72DB6" w:rsidRDefault="00D72DB6" w:rsidP="00D72DB6">
      <w:pPr>
        <w:pStyle w:val="Heading3"/>
        <w:rPr>
          <w:rFonts w:ascii="Times New Roman" w:hAnsi="Times New Roman" w:cs="Times New Roman"/>
          <w:color w:val="2E74B5" w:themeColor="accent1" w:themeShade="BF"/>
        </w:rPr>
      </w:pPr>
      <w:bookmarkStart w:id="8" w:name="_Toc507424881"/>
      <w:r w:rsidRPr="00D72DB6">
        <w:rPr>
          <w:rFonts w:ascii="Times New Roman" w:hAnsi="Times New Roman" w:cs="Times New Roman"/>
          <w:color w:val="2E74B5" w:themeColor="accent1" w:themeShade="BF"/>
        </w:rPr>
        <w:t>2.4.1 Strategjia Ndërsektoriale për Reformën në Administratën Publike</w:t>
      </w:r>
      <w:bookmarkEnd w:id="8"/>
    </w:p>
    <w:p w:rsidR="00D72DB6" w:rsidRPr="00D72DB6" w:rsidRDefault="00D72DB6" w:rsidP="00D72DB6">
      <w:pPr>
        <w:spacing w:after="0"/>
        <w:rPr>
          <w:rFonts w:ascii="Times New Roman" w:hAnsi="Times New Roman"/>
          <w:sz w:val="24"/>
          <w:szCs w:val="24"/>
        </w:rPr>
      </w:pPr>
    </w:p>
    <w:p w:rsidR="00D72DB6" w:rsidRPr="00D72DB6" w:rsidRDefault="00D72DB6" w:rsidP="00D72DB6">
      <w:pPr>
        <w:pStyle w:val="ListParagraph"/>
        <w:shd w:val="clear" w:color="auto" w:fill="FFFFFF" w:themeFill="background1"/>
        <w:spacing w:line="360" w:lineRule="auto"/>
        <w:ind w:left="0"/>
        <w:jc w:val="both"/>
        <w:rPr>
          <w:rFonts w:ascii="Times New Roman" w:hAnsi="Times New Roman"/>
          <w:bCs/>
          <w:sz w:val="24"/>
          <w:szCs w:val="24"/>
        </w:rPr>
      </w:pPr>
      <w:r w:rsidRPr="00D72DB6">
        <w:rPr>
          <w:rFonts w:ascii="Times New Roman" w:hAnsi="Times New Roman"/>
          <w:bCs/>
          <w:sz w:val="24"/>
          <w:szCs w:val="24"/>
        </w:rPr>
        <w:t>Zyra e</w:t>
      </w:r>
      <w:r w:rsidRPr="00D72DB6">
        <w:rPr>
          <w:rFonts w:ascii="Times New Roman" w:hAnsi="Times New Roman"/>
          <w:bCs/>
          <w:color w:val="FF0000"/>
          <w:sz w:val="24"/>
          <w:szCs w:val="24"/>
        </w:rPr>
        <w:t xml:space="preserve"> </w:t>
      </w:r>
      <w:r w:rsidRPr="00D72DB6">
        <w:rPr>
          <w:rFonts w:ascii="Times New Roman" w:hAnsi="Times New Roman"/>
          <w:bCs/>
          <w:sz w:val="24"/>
          <w:szCs w:val="24"/>
        </w:rPr>
        <w:t>Komisionerit, si një institucion i cili ka në fokus</w:t>
      </w:r>
      <w:r w:rsidRPr="00D72DB6">
        <w:rPr>
          <w:rFonts w:ascii="Times New Roman" w:hAnsi="Times New Roman"/>
          <w:color w:val="666666"/>
          <w:sz w:val="24"/>
          <w:szCs w:val="24"/>
          <w:shd w:val="clear" w:color="auto" w:fill="FFFFFF"/>
        </w:rPr>
        <w:t xml:space="preserve"> </w:t>
      </w:r>
      <w:r w:rsidRPr="00D72DB6">
        <w:rPr>
          <w:rFonts w:ascii="Times New Roman" w:hAnsi="Times New Roman"/>
          <w:bCs/>
          <w:sz w:val="24"/>
          <w:szCs w:val="24"/>
        </w:rPr>
        <w:t xml:space="preserve">forcimin e transparencës dhe llogaridhënies së autoriteteve publike, është pjesë e Strategjisë Ndërsektoriale për Reformën në Administratën Publike 2015 – 2020 (SNRAP). Objektivi që duhet të përmbush Zyra e Komisionerit në këtë strategji është rritja e kontrollit mbi veprimtarinë e administratës publike, garantimi i të drejtave të qytetarëve dhe aksesi në informacion. Ky objektiv synohet të arrihet nëpërmjet aktiviteteve si vënia në zbatim e programit institucional të transparencës </w:t>
      </w:r>
      <w:r w:rsidRPr="00D72DB6">
        <w:rPr>
          <w:rFonts w:ascii="Times New Roman" w:hAnsi="Times New Roman"/>
          <w:bCs/>
          <w:sz w:val="24"/>
          <w:szCs w:val="24"/>
        </w:rPr>
        <w:lastRenderedPageBreak/>
        <w:t xml:space="preserve">nga autoritetet publike, me qëllim garantimin e aksesit në informacion nga qytetarët dhe shoqëria civile. Komisioneri për të Drejtën e Informimit dhe Mbrojtjen e të Dhënave Personale është përgjegjës për monitorimin e zbatimit të këtij procesi. </w:t>
      </w:r>
    </w:p>
    <w:p w:rsidR="00D72DB6" w:rsidRPr="00D72DB6" w:rsidRDefault="00D72DB6" w:rsidP="00D72DB6">
      <w:pPr>
        <w:pStyle w:val="ListParagraph"/>
        <w:shd w:val="clear" w:color="auto" w:fill="FFFFFF" w:themeFill="background1"/>
        <w:spacing w:line="360" w:lineRule="auto"/>
        <w:ind w:left="0"/>
        <w:jc w:val="both"/>
        <w:rPr>
          <w:rFonts w:ascii="Times New Roman" w:hAnsi="Times New Roman"/>
          <w:bCs/>
          <w:sz w:val="24"/>
          <w:szCs w:val="24"/>
        </w:rPr>
      </w:pPr>
    </w:p>
    <w:p w:rsidR="00D72DB6" w:rsidRPr="00D72DB6" w:rsidRDefault="00D72DB6" w:rsidP="00D72DB6">
      <w:pPr>
        <w:pStyle w:val="ListParagraph"/>
        <w:shd w:val="clear" w:color="auto" w:fill="FFFFFF" w:themeFill="background1"/>
        <w:spacing w:line="360" w:lineRule="auto"/>
        <w:ind w:left="0"/>
        <w:jc w:val="both"/>
        <w:rPr>
          <w:rFonts w:ascii="Times New Roman" w:hAnsi="Times New Roman"/>
          <w:bCs/>
          <w:sz w:val="24"/>
          <w:szCs w:val="24"/>
        </w:rPr>
      </w:pPr>
      <w:r w:rsidRPr="00D72DB6">
        <w:rPr>
          <w:rFonts w:ascii="Times New Roman" w:hAnsi="Times New Roman"/>
          <w:bCs/>
          <w:sz w:val="24"/>
          <w:szCs w:val="24"/>
        </w:rPr>
        <w:t xml:space="preserve">Në këtë kuadër, Zyra e Komisionerit ka marrë pjesë rregullisht në takimet e organizuara nga Ministri i Shtetit për Inovacionin dhe Administratën Publike me qëllim monitorimin e zbatimit të këtij objektivi. Nga raportet e monitorimit vjetor për zbatimin e Planit të Veprimit të SNRAP, rezulton që aktivitetet për të cilat është përgjegjëse Zyra e Komisionerit janë përmbushur në përputhje me pasaportën e indikatorëve të kësaj strategjie. </w:t>
      </w:r>
    </w:p>
    <w:p w:rsidR="00D72DB6" w:rsidRPr="00D72DB6" w:rsidRDefault="00D72DB6" w:rsidP="00D72DB6">
      <w:pPr>
        <w:pStyle w:val="ListParagraph"/>
        <w:shd w:val="clear" w:color="auto" w:fill="FFFFFF" w:themeFill="background1"/>
        <w:spacing w:line="360" w:lineRule="auto"/>
        <w:ind w:left="0"/>
        <w:jc w:val="both"/>
        <w:rPr>
          <w:rFonts w:ascii="Times New Roman" w:hAnsi="Times New Roman"/>
          <w:bCs/>
          <w:sz w:val="24"/>
          <w:szCs w:val="24"/>
        </w:rPr>
      </w:pPr>
    </w:p>
    <w:p w:rsidR="00D72DB6" w:rsidRPr="00D72DB6" w:rsidRDefault="00D72DB6" w:rsidP="00D72DB6">
      <w:pPr>
        <w:pStyle w:val="ListParagraph"/>
        <w:shd w:val="clear" w:color="auto" w:fill="FFFFFF" w:themeFill="background1"/>
        <w:spacing w:line="360" w:lineRule="auto"/>
        <w:ind w:left="0"/>
        <w:jc w:val="both"/>
        <w:rPr>
          <w:rFonts w:ascii="Times New Roman" w:hAnsi="Times New Roman"/>
          <w:bCs/>
          <w:sz w:val="24"/>
          <w:szCs w:val="24"/>
        </w:rPr>
      </w:pPr>
      <w:r w:rsidRPr="00D72DB6">
        <w:rPr>
          <w:rFonts w:ascii="Times New Roman" w:hAnsi="Times New Roman"/>
          <w:bCs/>
          <w:sz w:val="24"/>
          <w:szCs w:val="24"/>
        </w:rPr>
        <w:t xml:space="preserve">Në bashkëpunim me përfaqësuesit e Departamentit të Administratës Publike si dhe me asistencën e ekspertëve të SIGMA/OECD, Zyra e Komisionerit ka hartuar masat që do të ketë në Planin e Veprimit të SNRAP për vitet 2018-2020. </w:t>
      </w:r>
    </w:p>
    <w:p w:rsidR="00D72DB6" w:rsidRPr="00D72DB6" w:rsidRDefault="00D72DB6" w:rsidP="00D72DB6">
      <w:pPr>
        <w:pStyle w:val="ListParagraph"/>
        <w:shd w:val="clear" w:color="auto" w:fill="FFFFFF" w:themeFill="background1"/>
        <w:spacing w:line="360" w:lineRule="auto"/>
        <w:ind w:left="0"/>
        <w:jc w:val="both"/>
        <w:rPr>
          <w:rFonts w:ascii="Times New Roman" w:hAnsi="Times New Roman"/>
          <w:bCs/>
          <w:sz w:val="24"/>
          <w:szCs w:val="24"/>
        </w:rPr>
      </w:pPr>
    </w:p>
    <w:p w:rsidR="00D72DB6" w:rsidRPr="00D72DB6" w:rsidRDefault="00D72DB6" w:rsidP="00D72DB6">
      <w:pPr>
        <w:pStyle w:val="Heading3"/>
        <w:ind w:left="810" w:hanging="810"/>
        <w:jc w:val="both"/>
        <w:rPr>
          <w:rFonts w:ascii="Times New Roman" w:hAnsi="Times New Roman" w:cs="Times New Roman"/>
          <w:color w:val="2E74B5" w:themeColor="accent1" w:themeShade="BF"/>
        </w:rPr>
      </w:pPr>
      <w:bookmarkStart w:id="9" w:name="_Toc507424882"/>
      <w:r w:rsidRPr="00D72DB6">
        <w:rPr>
          <w:rFonts w:ascii="Times New Roman" w:hAnsi="Times New Roman" w:cs="Times New Roman"/>
          <w:color w:val="2E74B5" w:themeColor="accent1" w:themeShade="BF"/>
        </w:rPr>
        <w:t>2.4.2 Kontrata Sektoriale e Mbështetjes Buxhetore për Reformën në Administratën Publike</w:t>
      </w:r>
      <w:bookmarkEnd w:id="9"/>
    </w:p>
    <w:p w:rsidR="00D72DB6" w:rsidRPr="00D72DB6" w:rsidRDefault="00D72DB6" w:rsidP="00D72DB6">
      <w:pPr>
        <w:rPr>
          <w:rFonts w:ascii="Times New Roman" w:hAnsi="Times New Roman"/>
          <w:sz w:val="24"/>
          <w:szCs w:val="24"/>
        </w:rPr>
      </w:pPr>
    </w:p>
    <w:p w:rsidR="00D72DB6" w:rsidRPr="00D72DB6" w:rsidRDefault="00D72DB6" w:rsidP="00D72DB6">
      <w:pPr>
        <w:shd w:val="clear" w:color="auto" w:fill="FFFFFF" w:themeFill="background1"/>
        <w:autoSpaceDE w:val="0"/>
        <w:autoSpaceDN w:val="0"/>
        <w:adjustRightInd w:val="0"/>
        <w:spacing w:after="240" w:line="360" w:lineRule="auto"/>
        <w:jc w:val="both"/>
        <w:rPr>
          <w:rFonts w:ascii="Times New Roman" w:hAnsi="Times New Roman"/>
          <w:bCs/>
          <w:iCs/>
          <w:sz w:val="24"/>
          <w:szCs w:val="24"/>
        </w:rPr>
      </w:pPr>
      <w:r w:rsidRPr="00D72DB6">
        <w:rPr>
          <w:rFonts w:ascii="Times New Roman" w:hAnsi="Times New Roman"/>
          <w:bCs/>
          <w:iCs/>
          <w:sz w:val="24"/>
          <w:szCs w:val="24"/>
        </w:rPr>
        <w:t>Me VKM nr. 686, datë 29.9.2016, u miratua në parim marrëveshja e financimit, ndërmjet Qeverisë Shqiptare dhe Komisionit Evropian, programi i veprimit IPA 2015 për Shqipërinë.</w:t>
      </w:r>
    </w:p>
    <w:p w:rsidR="00D72DB6" w:rsidRPr="00D72DB6" w:rsidRDefault="00D72DB6" w:rsidP="00D72DB6">
      <w:pPr>
        <w:shd w:val="clear" w:color="auto" w:fill="FFFFFF" w:themeFill="background1"/>
        <w:autoSpaceDE w:val="0"/>
        <w:autoSpaceDN w:val="0"/>
        <w:adjustRightInd w:val="0"/>
        <w:spacing w:after="240" w:line="360" w:lineRule="auto"/>
        <w:jc w:val="both"/>
        <w:rPr>
          <w:rFonts w:ascii="Times New Roman" w:hAnsi="Times New Roman"/>
          <w:bCs/>
          <w:iCs/>
          <w:sz w:val="24"/>
          <w:szCs w:val="24"/>
        </w:rPr>
      </w:pPr>
      <w:r w:rsidRPr="00D72DB6">
        <w:rPr>
          <w:rFonts w:ascii="Times New Roman" w:hAnsi="Times New Roman"/>
          <w:bCs/>
          <w:iCs/>
          <w:sz w:val="24"/>
          <w:szCs w:val="24"/>
        </w:rPr>
        <w:t>Një ndër kontratat e firmosura është edhe “</w:t>
      </w:r>
      <w:r w:rsidRPr="00D72DB6">
        <w:rPr>
          <w:rFonts w:ascii="Times New Roman" w:hAnsi="Times New Roman"/>
          <w:bCs/>
          <w:i/>
          <w:iCs/>
          <w:sz w:val="24"/>
          <w:szCs w:val="24"/>
        </w:rPr>
        <w:t>Kontrata Sektoriale e Mbështetjes Buxhetore për Reformën në Administratën Publike</w:t>
      </w:r>
      <w:r w:rsidRPr="00D72DB6">
        <w:rPr>
          <w:rFonts w:ascii="Times New Roman" w:hAnsi="Times New Roman"/>
          <w:bCs/>
          <w:iCs/>
          <w:sz w:val="24"/>
          <w:szCs w:val="24"/>
        </w:rPr>
        <w:t xml:space="preserve">”, nëpërmjet së cilës qeveria shqiptare përfiton 28 milion euro mbështetje buxhetore që shkon për sektorin e Reformës së Administratës Publike. Disbursimi i këtyre fondeve shtrihet në katër vite dhe përfitimi i tyre bazohet në realizimin e plotë ose të pjesshëm të 10 (dhjetë) indikatorëve sipas objektivit të vendosur në këtë kontratë për çdo vit të zbatimit të saj. </w:t>
      </w:r>
    </w:p>
    <w:p w:rsidR="00D72DB6" w:rsidRPr="00D72DB6" w:rsidRDefault="00D72DB6" w:rsidP="00D72DB6">
      <w:pPr>
        <w:shd w:val="clear" w:color="auto" w:fill="FFFFFF" w:themeFill="background1"/>
        <w:autoSpaceDE w:val="0"/>
        <w:autoSpaceDN w:val="0"/>
        <w:adjustRightInd w:val="0"/>
        <w:spacing w:after="240" w:line="360" w:lineRule="auto"/>
        <w:jc w:val="both"/>
        <w:rPr>
          <w:rFonts w:ascii="Times New Roman" w:hAnsi="Times New Roman"/>
          <w:bCs/>
          <w:i/>
          <w:iCs/>
          <w:sz w:val="24"/>
          <w:szCs w:val="24"/>
        </w:rPr>
      </w:pPr>
      <w:r w:rsidRPr="00D72DB6">
        <w:rPr>
          <w:rFonts w:ascii="Times New Roman" w:hAnsi="Times New Roman"/>
          <w:bCs/>
          <w:iCs/>
          <w:sz w:val="24"/>
          <w:szCs w:val="24"/>
        </w:rPr>
        <w:t xml:space="preserve">Zyra e Komisionerit është përgjegjëse për zbatimin e një prej 10 indikatorëve të parashikuar në këtë kontratë e konkretisht: </w:t>
      </w:r>
      <w:r w:rsidRPr="00D72DB6">
        <w:rPr>
          <w:rFonts w:ascii="Times New Roman" w:hAnsi="Times New Roman"/>
          <w:bCs/>
          <w:i/>
          <w:iCs/>
          <w:sz w:val="24"/>
          <w:szCs w:val="24"/>
        </w:rPr>
        <w:t xml:space="preserve">Përmirësimi i zbatimit të ligjit për qasje në informacion </w:t>
      </w:r>
      <w:r w:rsidRPr="00D72DB6">
        <w:rPr>
          <w:rFonts w:ascii="Times New Roman" w:hAnsi="Times New Roman"/>
          <w:bCs/>
          <w:iCs/>
          <w:sz w:val="24"/>
          <w:szCs w:val="24"/>
        </w:rPr>
        <w:t xml:space="preserve">ku rezultati i pritshëm është: </w:t>
      </w:r>
      <w:r w:rsidRPr="00D72DB6">
        <w:rPr>
          <w:rFonts w:ascii="Times New Roman" w:hAnsi="Times New Roman"/>
          <w:bCs/>
          <w:i/>
          <w:iCs/>
          <w:sz w:val="24"/>
          <w:szCs w:val="24"/>
        </w:rPr>
        <w:t xml:space="preserve">Rritja e përgjegjshmërisë së administratës publike. </w:t>
      </w:r>
    </w:p>
    <w:p w:rsidR="00D72DB6" w:rsidRPr="00D72DB6" w:rsidRDefault="00D72DB6" w:rsidP="00D72DB6">
      <w:pPr>
        <w:shd w:val="clear" w:color="auto" w:fill="FFFFFF" w:themeFill="background1"/>
        <w:autoSpaceDE w:val="0"/>
        <w:autoSpaceDN w:val="0"/>
        <w:adjustRightInd w:val="0"/>
        <w:spacing w:after="240" w:line="360" w:lineRule="auto"/>
        <w:jc w:val="both"/>
        <w:rPr>
          <w:rFonts w:ascii="Times New Roman" w:hAnsi="Times New Roman"/>
          <w:sz w:val="24"/>
          <w:szCs w:val="24"/>
        </w:rPr>
      </w:pPr>
      <w:r w:rsidRPr="00D72DB6">
        <w:rPr>
          <w:rFonts w:ascii="Times New Roman" w:hAnsi="Times New Roman"/>
          <w:sz w:val="24"/>
          <w:szCs w:val="24"/>
        </w:rPr>
        <w:t xml:space="preserve">Nga vlerësimi që ka kryer Komisioni Evropian për zbatimin e kësaj kontrate për vitin 2016, janë disbursuar fondet të cilët kanë kaluar në buxhetin e shtetit në përputhje me realizimin e plotë ose të pjesshëm të indikatorëve. Ndër 5 (pesë) indikatorët e realizuar plotësisht, ka qenë dhe indikatori për të cilën Zyra e Komisionerit është përgjegjëse për zbatimin e tij. </w:t>
      </w:r>
    </w:p>
    <w:p w:rsidR="00D72DB6" w:rsidRPr="00D72DB6" w:rsidRDefault="00D72DB6" w:rsidP="00D72DB6">
      <w:pPr>
        <w:shd w:val="clear" w:color="auto" w:fill="FFFFFF" w:themeFill="background1"/>
        <w:autoSpaceDE w:val="0"/>
        <w:autoSpaceDN w:val="0"/>
        <w:adjustRightInd w:val="0"/>
        <w:spacing w:line="360" w:lineRule="auto"/>
        <w:jc w:val="both"/>
        <w:rPr>
          <w:rFonts w:ascii="Times New Roman" w:hAnsi="Times New Roman"/>
          <w:sz w:val="24"/>
          <w:szCs w:val="24"/>
        </w:rPr>
      </w:pPr>
      <w:r w:rsidRPr="00D72DB6">
        <w:rPr>
          <w:rFonts w:ascii="Times New Roman" w:hAnsi="Times New Roman"/>
          <w:sz w:val="24"/>
          <w:szCs w:val="24"/>
        </w:rPr>
        <w:lastRenderedPageBreak/>
        <w:t xml:space="preserve">Për të vlerësuar nëse indikatori është përmbushur ose jo, referuar metodologjisë së dakortësuar me Delegacionin e BE në Tiranë, Zyra e Komisionerit ka kërkuar nga 128 Autoritete Publike informacionin mbi regjistrin e kërkesave dhe përgjigjeve si dhe të vetë deklarojnë mbi përmbushjen e detyrimeve ligjore që dalin në përputhje me nenin 15 të ligjit 119/2014 “Për të drejtën e Informimit”. 108 Autoritete Publike kanë kthyer përgjigje, duke u shprehur se për vitin 2017 janë trajtuar </w:t>
      </w:r>
      <w:r w:rsidRPr="00D72DB6">
        <w:rPr>
          <w:rFonts w:ascii="Times New Roman" w:hAnsi="Times New Roman"/>
          <w:b/>
          <w:i/>
          <w:sz w:val="24"/>
          <w:szCs w:val="24"/>
        </w:rPr>
        <w:t>12090 kërkesa për informacion</w:t>
      </w:r>
      <w:r w:rsidRPr="00D72DB6">
        <w:rPr>
          <w:rFonts w:ascii="Times New Roman" w:hAnsi="Times New Roman"/>
          <w:sz w:val="24"/>
          <w:szCs w:val="24"/>
        </w:rPr>
        <w:t xml:space="preserve"> dhe vetëm </w:t>
      </w:r>
      <w:r w:rsidRPr="00D72DB6">
        <w:rPr>
          <w:rFonts w:ascii="Times New Roman" w:hAnsi="Times New Roman"/>
          <w:b/>
          <w:i/>
          <w:sz w:val="24"/>
          <w:szCs w:val="24"/>
        </w:rPr>
        <w:t>578 prej tyre janë refuzuar</w:t>
      </w:r>
      <w:r w:rsidRPr="00D72DB6">
        <w:rPr>
          <w:rFonts w:ascii="Times New Roman" w:hAnsi="Times New Roman"/>
          <w:sz w:val="24"/>
          <w:szCs w:val="24"/>
        </w:rPr>
        <w:t xml:space="preserve">. Pra vetëm 4.7% e kërkesave është refuzuar nga ana e Autoriteteve publike. </w:t>
      </w:r>
    </w:p>
    <w:p w:rsidR="00D72DB6" w:rsidRPr="00D72DB6" w:rsidRDefault="00D72DB6" w:rsidP="00D72DB6">
      <w:pPr>
        <w:shd w:val="clear" w:color="auto" w:fill="FFFFFF" w:themeFill="background1"/>
        <w:autoSpaceDE w:val="0"/>
        <w:autoSpaceDN w:val="0"/>
        <w:adjustRightInd w:val="0"/>
        <w:spacing w:line="360" w:lineRule="auto"/>
        <w:jc w:val="both"/>
        <w:rPr>
          <w:rFonts w:ascii="Times New Roman" w:hAnsi="Times New Roman"/>
          <w:sz w:val="24"/>
          <w:szCs w:val="24"/>
        </w:rPr>
      </w:pPr>
      <w:r w:rsidRPr="00D72DB6">
        <w:rPr>
          <w:rFonts w:ascii="Times New Roman" w:hAnsi="Times New Roman"/>
          <w:sz w:val="24"/>
          <w:szCs w:val="24"/>
        </w:rPr>
        <w:t xml:space="preserve">Komisioneri për të Drejtën e Informimit dhe Mbrojtjen e të Dhënave Personale si institucioni përgjegjës për zbatimin e këtij indikatori është i angazhuar për realizimin e tij për vitet në vijim në përputhje me kërkesat e parashikuara në kontratë. </w:t>
      </w:r>
    </w:p>
    <w:p w:rsidR="00D72DB6" w:rsidRPr="00D72DB6" w:rsidRDefault="00D72DB6" w:rsidP="00D72DB6">
      <w:pPr>
        <w:shd w:val="clear" w:color="auto" w:fill="FFFFFF"/>
        <w:spacing w:after="0" w:line="0" w:lineRule="auto"/>
        <w:rPr>
          <w:rFonts w:ascii="Times New Roman" w:eastAsia="Times New Roman" w:hAnsi="Times New Roman"/>
          <w:color w:val="000000"/>
          <w:sz w:val="24"/>
          <w:szCs w:val="24"/>
        </w:rPr>
      </w:pPr>
      <w:r w:rsidRPr="00D72DB6">
        <w:rPr>
          <w:rFonts w:ascii="Times New Roman" w:eastAsia="Times New Roman" w:hAnsi="Times New Roman"/>
          <w:color w:val="000000"/>
          <w:sz w:val="24"/>
          <w:szCs w:val="24"/>
        </w:rPr>
        <w:t>Zyra e komisionerit me shkresën e datës 15.01.2018 ka kërkurar nga 128 Autoritete Publike</w:t>
      </w:r>
    </w:p>
    <w:p w:rsidR="00D72DB6" w:rsidRPr="00D72DB6" w:rsidRDefault="00D72DB6" w:rsidP="00D72DB6">
      <w:pPr>
        <w:shd w:val="clear" w:color="auto" w:fill="FFFFFF"/>
        <w:spacing w:after="0" w:line="0" w:lineRule="auto"/>
        <w:rPr>
          <w:rFonts w:ascii="Times New Roman" w:eastAsia="Times New Roman" w:hAnsi="Times New Roman"/>
          <w:color w:val="000000"/>
          <w:sz w:val="24"/>
          <w:szCs w:val="24"/>
        </w:rPr>
      </w:pPr>
      <w:r w:rsidRPr="00D72DB6">
        <w:rPr>
          <w:rFonts w:ascii="Times New Roman" w:eastAsia="Times New Roman" w:hAnsi="Times New Roman"/>
          <w:color w:val="000000"/>
          <w:sz w:val="24"/>
          <w:szCs w:val="24"/>
        </w:rPr>
        <w:t>informaconin   mbi   regjistrin   e   kërkesave   dhe   përgjigjeve   si   dhe   të     vetëdeklarojnë   mbi</w:t>
      </w:r>
    </w:p>
    <w:p w:rsidR="00D72DB6" w:rsidRPr="00D72DB6" w:rsidRDefault="00D72DB6" w:rsidP="00D72DB6">
      <w:pPr>
        <w:shd w:val="clear" w:color="auto" w:fill="FFFFFF"/>
        <w:spacing w:after="0" w:line="0" w:lineRule="auto"/>
        <w:rPr>
          <w:rFonts w:ascii="Times New Roman" w:eastAsia="Times New Roman" w:hAnsi="Times New Roman"/>
          <w:color w:val="000000"/>
          <w:sz w:val="24"/>
          <w:szCs w:val="24"/>
        </w:rPr>
      </w:pPr>
      <w:r w:rsidRPr="00D72DB6">
        <w:rPr>
          <w:rFonts w:ascii="Times New Roman" w:eastAsia="Times New Roman" w:hAnsi="Times New Roman"/>
          <w:color w:val="000000"/>
          <w:sz w:val="24"/>
          <w:szCs w:val="24"/>
        </w:rPr>
        <w:t>përmbushjen e detyrimeve ligjore që dalin në përputhje me nenin 15 të ligjit 119/2014 “Për të</w:t>
      </w:r>
    </w:p>
    <w:p w:rsidR="00D72DB6" w:rsidRPr="00D72DB6" w:rsidRDefault="00D72DB6" w:rsidP="00D72DB6">
      <w:pPr>
        <w:shd w:val="clear" w:color="auto" w:fill="FFFFFF"/>
        <w:spacing w:after="0" w:line="0" w:lineRule="auto"/>
        <w:rPr>
          <w:rFonts w:ascii="Times New Roman" w:eastAsia="Times New Roman" w:hAnsi="Times New Roman"/>
          <w:color w:val="000000"/>
          <w:sz w:val="24"/>
          <w:szCs w:val="24"/>
        </w:rPr>
      </w:pPr>
      <w:r w:rsidRPr="00D72DB6">
        <w:rPr>
          <w:rFonts w:ascii="Times New Roman" w:eastAsia="Times New Roman" w:hAnsi="Times New Roman"/>
          <w:color w:val="000000"/>
          <w:sz w:val="24"/>
          <w:szCs w:val="24"/>
        </w:rPr>
        <w:t>drejtën e Informimit”. Nga përgjigjet e marra 108 Autoritete Publike kanë kthyer përgjigje, duke</w:t>
      </w:r>
    </w:p>
    <w:p w:rsidR="00D72DB6" w:rsidRPr="00D72DB6" w:rsidRDefault="00D72DB6" w:rsidP="00D72DB6">
      <w:pPr>
        <w:shd w:val="clear" w:color="auto" w:fill="FFFFFF"/>
        <w:spacing w:after="0" w:line="0" w:lineRule="auto"/>
        <w:rPr>
          <w:rFonts w:ascii="Times New Roman" w:eastAsia="Times New Roman" w:hAnsi="Times New Roman"/>
          <w:color w:val="000000"/>
          <w:sz w:val="24"/>
          <w:szCs w:val="24"/>
        </w:rPr>
      </w:pPr>
      <w:r w:rsidRPr="00D72DB6">
        <w:rPr>
          <w:rFonts w:ascii="Times New Roman" w:eastAsia="Times New Roman" w:hAnsi="Times New Roman"/>
          <w:color w:val="000000"/>
          <w:sz w:val="24"/>
          <w:szCs w:val="24"/>
        </w:rPr>
        <w:t>u shprehur se për vitin 2017 janë trajtuar 12090 kërkesa për informacion dhe vetëm 578 prej tyre</w:t>
      </w:r>
    </w:p>
    <w:p w:rsidR="00D72DB6" w:rsidRPr="00D72DB6" w:rsidRDefault="00D72DB6" w:rsidP="00D72DB6">
      <w:pPr>
        <w:shd w:val="clear" w:color="auto" w:fill="FFFFFF"/>
        <w:spacing w:after="0" w:line="0" w:lineRule="auto"/>
        <w:rPr>
          <w:rFonts w:ascii="Times New Roman" w:eastAsia="Times New Roman" w:hAnsi="Times New Roman"/>
          <w:color w:val="000000"/>
          <w:sz w:val="24"/>
          <w:szCs w:val="24"/>
        </w:rPr>
      </w:pPr>
      <w:r w:rsidRPr="00D72DB6">
        <w:rPr>
          <w:rFonts w:ascii="Times New Roman" w:eastAsia="Times New Roman" w:hAnsi="Times New Roman"/>
          <w:color w:val="000000"/>
          <w:sz w:val="24"/>
          <w:szCs w:val="24"/>
        </w:rPr>
        <w:t>janë refuzuar, ku  vetëm 4.7% e kërkesave është refuzuar dhe është realizuar në masën 95.3</w:t>
      </w:r>
    </w:p>
    <w:p w:rsidR="00D72DB6" w:rsidRPr="00D72DB6" w:rsidRDefault="00D72DB6" w:rsidP="00D72DB6">
      <w:pPr>
        <w:pStyle w:val="Heading3"/>
        <w:jc w:val="both"/>
        <w:rPr>
          <w:rFonts w:ascii="Times New Roman" w:hAnsi="Times New Roman" w:cs="Times New Roman"/>
          <w:color w:val="2E74B5" w:themeColor="accent1" w:themeShade="BF"/>
        </w:rPr>
      </w:pPr>
      <w:bookmarkStart w:id="10" w:name="_Toc507424883"/>
      <w:r w:rsidRPr="00D72DB6">
        <w:rPr>
          <w:rFonts w:ascii="Times New Roman" w:hAnsi="Times New Roman" w:cs="Times New Roman"/>
          <w:color w:val="2E74B5" w:themeColor="accent1" w:themeShade="BF"/>
        </w:rPr>
        <w:t>2.4.3 Strategjia Ndërsektoriale Antikorrupsion</w:t>
      </w:r>
      <w:bookmarkEnd w:id="10"/>
    </w:p>
    <w:p w:rsidR="00D72DB6" w:rsidRPr="00D72DB6" w:rsidRDefault="00D72DB6" w:rsidP="00D72DB6">
      <w:pPr>
        <w:pStyle w:val="ListParagraph"/>
        <w:shd w:val="clear" w:color="auto" w:fill="FFFFFF" w:themeFill="background1"/>
        <w:ind w:left="0"/>
        <w:jc w:val="both"/>
        <w:rPr>
          <w:rFonts w:ascii="Times New Roman" w:hAnsi="Times New Roman"/>
          <w:b/>
          <w:sz w:val="24"/>
          <w:szCs w:val="24"/>
        </w:rPr>
      </w:pPr>
    </w:p>
    <w:p w:rsidR="00D72DB6" w:rsidRPr="00D72DB6" w:rsidRDefault="00D72DB6" w:rsidP="00D72DB6">
      <w:pPr>
        <w:pStyle w:val="ListParagraph"/>
        <w:shd w:val="clear" w:color="auto" w:fill="FFFFFF" w:themeFill="background1"/>
        <w:spacing w:line="360" w:lineRule="auto"/>
        <w:ind w:left="0"/>
        <w:jc w:val="both"/>
        <w:rPr>
          <w:rFonts w:ascii="Times New Roman" w:hAnsi="Times New Roman"/>
          <w:sz w:val="24"/>
          <w:szCs w:val="24"/>
        </w:rPr>
      </w:pPr>
      <w:r w:rsidRPr="00D72DB6">
        <w:rPr>
          <w:rFonts w:ascii="Times New Roman" w:hAnsi="Times New Roman"/>
          <w:sz w:val="24"/>
          <w:szCs w:val="24"/>
        </w:rPr>
        <w:t xml:space="preserve">Zyra e Komisionerit është gjithashtu pjesë e Strategjisë Ndërsektoriale Antikorrupsion. Gjatë këtij viti, ka vazhduar puna lidhur me realizimin e masave të parashikuara në planin e veprimit të strategjisë, të cilat janë realizuar thuajse plotësisht. </w:t>
      </w:r>
    </w:p>
    <w:p w:rsidR="00D72DB6" w:rsidRPr="00D72DB6" w:rsidRDefault="00D72DB6" w:rsidP="00D72DB6">
      <w:pPr>
        <w:pStyle w:val="ListParagraph"/>
        <w:shd w:val="clear" w:color="auto" w:fill="FFFFFF" w:themeFill="background1"/>
        <w:spacing w:line="360" w:lineRule="auto"/>
        <w:ind w:left="0"/>
        <w:jc w:val="both"/>
        <w:rPr>
          <w:rFonts w:ascii="Times New Roman" w:hAnsi="Times New Roman"/>
          <w:sz w:val="24"/>
          <w:szCs w:val="24"/>
        </w:rPr>
      </w:pPr>
      <w:r w:rsidRPr="00D72DB6">
        <w:rPr>
          <w:rFonts w:ascii="Times New Roman" w:hAnsi="Times New Roman"/>
          <w:sz w:val="24"/>
          <w:szCs w:val="24"/>
        </w:rPr>
        <w:t xml:space="preserve">Gjatë këtij viti, Zyra e Komisionerit në bashkëpunim me një grup ekspertësh të Bashkimit Evropian ka hartuar dy indikatorët që do të ketë në këtë strategji. Këta indikatorë do të masin jo vetëm nivelin e transparencës së institucioneve, si një nga instrumentet kryesor në luftën kundër korrupsionit, por do të shërbejnë dhe si tregues të zbatimit të ligjit për të drejtën e informimit. Gjithashtu, janë hartuar edhe masat që Zyra e Komisionerit do të ketë në planin e ri të veprimit të strategjisë kundër korrupsionit. Masat e propozuara nuk do të jenë vetëm pjesë e qasjes parandaluese të strategjisë, por është propozuar dhe një masë e cila bën pjesë në qasjen ndëshkimore. </w:t>
      </w:r>
    </w:p>
    <w:p w:rsidR="00D72DB6" w:rsidRPr="00D72DB6" w:rsidRDefault="00D72DB6" w:rsidP="00D72DB6">
      <w:pPr>
        <w:pStyle w:val="ListParagraph"/>
        <w:shd w:val="clear" w:color="auto" w:fill="FFFFFF" w:themeFill="background1"/>
        <w:spacing w:line="360" w:lineRule="auto"/>
        <w:ind w:left="0"/>
        <w:jc w:val="both"/>
        <w:rPr>
          <w:rFonts w:ascii="Times New Roman" w:hAnsi="Times New Roman"/>
          <w:sz w:val="24"/>
          <w:szCs w:val="24"/>
        </w:rPr>
      </w:pPr>
    </w:p>
    <w:p w:rsidR="00D72DB6" w:rsidRPr="00D72DB6" w:rsidRDefault="00D72DB6" w:rsidP="00D72DB6">
      <w:pPr>
        <w:pStyle w:val="ListParagraph"/>
        <w:shd w:val="clear" w:color="auto" w:fill="FFFFFF" w:themeFill="background1"/>
        <w:spacing w:line="360" w:lineRule="auto"/>
        <w:ind w:left="0"/>
        <w:jc w:val="both"/>
        <w:rPr>
          <w:rFonts w:ascii="Times New Roman" w:hAnsi="Times New Roman"/>
          <w:sz w:val="24"/>
          <w:szCs w:val="24"/>
        </w:rPr>
      </w:pPr>
      <w:r w:rsidRPr="00D72DB6">
        <w:rPr>
          <w:rFonts w:ascii="Times New Roman" w:hAnsi="Times New Roman"/>
          <w:sz w:val="24"/>
          <w:szCs w:val="24"/>
        </w:rPr>
        <w:t xml:space="preserve">Gjatë vitit, Zyra e Komisionerit ka realizuar një sërë aktivitetesh të parashikuara në komponentin nr. 6 të projektit të binjakëzimit antikorrupsion. Në bashkëpunim me ekspertët gjermanë të këtij projekti, është hartuar një manual trajnimi për mësuesit dhe nxënësit e gjimnazeve lidhur me të drejtën e informimit. Janë hartuar dy manuale që kanë të bëjnë me kufizimet e nenit 17, të ligjit “Për të drejtën e informimit” si dhe është hartuar një material i cili analizon të gjitha Direktivat e BE lidhur me informacionin mjedisor, informacionin gjeohapsinor apo ripërdorimin e informacionit publik. </w:t>
      </w:r>
    </w:p>
    <w:p w:rsidR="00D72DB6" w:rsidRPr="00D72DB6" w:rsidRDefault="00D72DB6" w:rsidP="00D72DB6">
      <w:pPr>
        <w:pStyle w:val="Heading2"/>
        <w:spacing w:after="240"/>
        <w:rPr>
          <w:rFonts w:ascii="Times New Roman" w:hAnsi="Times New Roman" w:cs="Times New Roman"/>
          <w:sz w:val="24"/>
          <w:szCs w:val="24"/>
        </w:rPr>
      </w:pPr>
      <w:bookmarkStart w:id="11" w:name="_Toc507424884"/>
      <w:r w:rsidRPr="00D72DB6">
        <w:rPr>
          <w:rFonts w:ascii="Times New Roman" w:hAnsi="Times New Roman" w:cs="Times New Roman"/>
          <w:sz w:val="24"/>
          <w:szCs w:val="24"/>
        </w:rPr>
        <w:lastRenderedPageBreak/>
        <w:t>2.5 Bashkëpunime</w:t>
      </w:r>
      <w:bookmarkEnd w:id="11"/>
      <w:r w:rsidRPr="00D72DB6">
        <w:rPr>
          <w:rFonts w:ascii="Times New Roman" w:hAnsi="Times New Roman" w:cs="Times New Roman"/>
          <w:sz w:val="24"/>
          <w:szCs w:val="24"/>
        </w:rPr>
        <w:t xml:space="preserve"> </w:t>
      </w:r>
    </w:p>
    <w:p w:rsidR="00D72DB6" w:rsidRPr="00D72DB6" w:rsidRDefault="00D72DB6" w:rsidP="00D72DB6">
      <w:pPr>
        <w:pStyle w:val="Heading3"/>
        <w:rPr>
          <w:rFonts w:ascii="Times New Roman" w:hAnsi="Times New Roman" w:cs="Times New Roman"/>
          <w:color w:val="2E74B5" w:themeColor="accent1" w:themeShade="BF"/>
        </w:rPr>
      </w:pPr>
      <w:bookmarkStart w:id="12" w:name="_Toc507424885"/>
      <w:r w:rsidRPr="00D72DB6">
        <w:rPr>
          <w:rFonts w:ascii="Times New Roman" w:hAnsi="Times New Roman" w:cs="Times New Roman"/>
          <w:color w:val="2E74B5" w:themeColor="accent1" w:themeShade="BF"/>
        </w:rPr>
        <w:t>2.5.1 Bashkëpunimi me Projektin Star 2 të UNDP</w:t>
      </w:r>
      <w:bookmarkEnd w:id="12"/>
      <w:r w:rsidRPr="00D72DB6">
        <w:rPr>
          <w:rFonts w:ascii="Times New Roman" w:hAnsi="Times New Roman" w:cs="Times New Roman"/>
          <w:color w:val="2E74B5" w:themeColor="accent1" w:themeShade="BF"/>
        </w:rPr>
        <w:t xml:space="preserve"> </w:t>
      </w:r>
    </w:p>
    <w:p w:rsidR="00D72DB6" w:rsidRPr="00D72DB6" w:rsidRDefault="00D72DB6" w:rsidP="00D72DB6">
      <w:pPr>
        <w:pStyle w:val="Heading3"/>
        <w:rPr>
          <w:rFonts w:ascii="Times New Roman" w:hAnsi="Times New Roman" w:cs="Times New Roman"/>
        </w:rPr>
      </w:pPr>
    </w:p>
    <w:p w:rsidR="00D72DB6" w:rsidRPr="00D72DB6" w:rsidRDefault="00D72DB6" w:rsidP="00D72DB6">
      <w:pPr>
        <w:spacing w:line="360" w:lineRule="auto"/>
        <w:jc w:val="both"/>
        <w:rPr>
          <w:rFonts w:ascii="Times New Roman" w:eastAsia="Arial Unicode MS" w:hAnsi="Times New Roman"/>
          <w:sz w:val="24"/>
          <w:szCs w:val="24"/>
        </w:rPr>
      </w:pPr>
      <w:r w:rsidRPr="00D72DB6">
        <w:rPr>
          <w:rFonts w:ascii="Times New Roman" w:eastAsia="Arial Unicode MS" w:hAnsi="Times New Roman"/>
          <w:sz w:val="24"/>
          <w:szCs w:val="24"/>
        </w:rPr>
        <w:t xml:space="preserve">Në kuadër të Projektit Star 2 “Suport për Reformën Administrative dhe Territoriale”, Zyra e Komisionerit në bashkëpunim me përfaqësuesit e UNDP, kanë hartuar termat e referencës për hartimin e programit model të transparencës për njësitë e vetëqeverisjes vendore si dhe për forcimin e kapaciteteve të punonjësve të bashkive lidhur me zbatimin e ligjit për të drejtën e informimit. Ky komponent i projektit pritet të fillojë zbatimin gjatë vitit 2018. </w:t>
      </w:r>
    </w:p>
    <w:p w:rsidR="00D72DB6" w:rsidRPr="00D72DB6" w:rsidRDefault="00D72DB6" w:rsidP="00D72DB6">
      <w:pPr>
        <w:pStyle w:val="Heading3"/>
        <w:spacing w:after="240"/>
        <w:rPr>
          <w:rFonts w:ascii="Times New Roman" w:hAnsi="Times New Roman" w:cs="Times New Roman"/>
          <w:color w:val="2E74B5" w:themeColor="accent1" w:themeShade="BF"/>
        </w:rPr>
      </w:pPr>
      <w:bookmarkStart w:id="13" w:name="_Toc507424886"/>
      <w:r w:rsidRPr="00D72DB6">
        <w:rPr>
          <w:rFonts w:ascii="Times New Roman" w:hAnsi="Times New Roman" w:cs="Times New Roman"/>
          <w:color w:val="2E74B5" w:themeColor="accent1" w:themeShade="BF"/>
        </w:rPr>
        <w:t>2.5.2 Bashkëpunimi me ASPA</w:t>
      </w:r>
      <w:bookmarkEnd w:id="13"/>
    </w:p>
    <w:p w:rsidR="00D72DB6" w:rsidRPr="00D72DB6" w:rsidRDefault="00D72DB6" w:rsidP="00D72DB6">
      <w:pPr>
        <w:autoSpaceDE w:val="0"/>
        <w:autoSpaceDN w:val="0"/>
        <w:adjustRightInd w:val="0"/>
        <w:spacing w:after="360" w:line="360" w:lineRule="auto"/>
        <w:jc w:val="both"/>
        <w:rPr>
          <w:rFonts w:ascii="Times New Roman" w:hAnsi="Times New Roman"/>
          <w:sz w:val="24"/>
          <w:szCs w:val="24"/>
        </w:rPr>
      </w:pPr>
      <w:r w:rsidRPr="00D72DB6">
        <w:rPr>
          <w:rFonts w:ascii="Times New Roman" w:hAnsi="Times New Roman"/>
          <w:sz w:val="24"/>
          <w:szCs w:val="24"/>
        </w:rPr>
        <w:t>Edhe këtë vit ka vijuar bashkëpunimi me Shkollën Shqiptare të Administratës Publike. E drejta për informim ka qenë pjesë e programit të trajnimit të detyruar për nëpunësit civil në periudhë prove. Janë organizuar 18 kurse trajnuese në të cilat kanë marrë pjesë 555 nëpunës civil.</w:t>
      </w:r>
    </w:p>
    <w:p w:rsidR="00D72DB6" w:rsidRPr="00D72DB6" w:rsidRDefault="00D72DB6" w:rsidP="00D72DB6">
      <w:pPr>
        <w:pStyle w:val="Heading1"/>
        <w:spacing w:after="360"/>
        <w:rPr>
          <w:rFonts w:ascii="Times New Roman" w:hAnsi="Times New Roman" w:cs="Times New Roman"/>
          <w:b/>
          <w:sz w:val="24"/>
          <w:szCs w:val="24"/>
        </w:rPr>
      </w:pPr>
      <w:bookmarkStart w:id="14" w:name="_Toc507424887"/>
      <w:r w:rsidRPr="00D72DB6">
        <w:rPr>
          <w:rFonts w:ascii="Times New Roman" w:hAnsi="Times New Roman" w:cs="Times New Roman"/>
          <w:b/>
          <w:sz w:val="24"/>
          <w:szCs w:val="24"/>
        </w:rPr>
        <w:t>3. E DREJTA E MBROJTJES SË TË DHËNAVE PERSONALE</w:t>
      </w:r>
      <w:bookmarkEnd w:id="14"/>
    </w:p>
    <w:p w:rsidR="00D72DB6" w:rsidRPr="00D72DB6" w:rsidRDefault="00D72DB6" w:rsidP="00D72DB6">
      <w:pPr>
        <w:pStyle w:val="Heading2"/>
        <w:ind w:left="360" w:hanging="360"/>
        <w:jc w:val="both"/>
        <w:rPr>
          <w:rFonts w:ascii="Times New Roman" w:hAnsi="Times New Roman" w:cs="Times New Roman"/>
          <w:sz w:val="24"/>
          <w:szCs w:val="24"/>
        </w:rPr>
      </w:pPr>
      <w:bookmarkStart w:id="15" w:name="_Toc507424888"/>
      <w:r w:rsidRPr="00D72DB6">
        <w:rPr>
          <w:rFonts w:ascii="Times New Roman" w:hAnsi="Times New Roman" w:cs="Times New Roman"/>
          <w:sz w:val="24"/>
          <w:szCs w:val="24"/>
        </w:rPr>
        <w:t>3.1 Monitorimi dhe mbikëqyrja e zbatimit të ligjit nr. 9887/2008 “Për mbrojtjen e  të dhënave personale”</w:t>
      </w:r>
      <w:bookmarkEnd w:id="15"/>
    </w:p>
    <w:p w:rsidR="00D72DB6" w:rsidRPr="00D72DB6" w:rsidRDefault="00D72DB6" w:rsidP="00D72DB6">
      <w:pPr>
        <w:tabs>
          <w:tab w:val="left" w:pos="0"/>
        </w:tabs>
        <w:spacing w:after="0" w:line="360" w:lineRule="auto"/>
        <w:jc w:val="both"/>
        <w:rPr>
          <w:rFonts w:ascii="Times New Roman" w:hAnsi="Times New Roman"/>
          <w:sz w:val="24"/>
          <w:szCs w:val="24"/>
        </w:rPr>
      </w:pPr>
    </w:p>
    <w:p w:rsidR="00D72DB6" w:rsidRPr="00D72DB6" w:rsidRDefault="00D72DB6" w:rsidP="00D72DB6">
      <w:pPr>
        <w:spacing w:line="360" w:lineRule="auto"/>
        <w:jc w:val="both"/>
        <w:rPr>
          <w:rFonts w:ascii="Times New Roman" w:hAnsi="Times New Roman"/>
          <w:sz w:val="24"/>
          <w:szCs w:val="24"/>
        </w:rPr>
      </w:pPr>
      <w:r w:rsidRPr="00D72DB6">
        <w:rPr>
          <w:rFonts w:ascii="Times New Roman" w:hAnsi="Times New Roman"/>
          <w:sz w:val="24"/>
          <w:szCs w:val="24"/>
        </w:rPr>
        <w:t xml:space="preserve">Në kuadër të monitorimit dhe mbikëqyrjes së ligjit nr. 9887, datë 10.03.2008 “Për mbrojtjen e të dhënave personale”, Zyra e Komisionerit gjatë këtij viti ka ndërmarrë hapa cilësorë dhe sasiorë në garantimin e të drejtave të subjekteve të të dhënave dhe realizimin në praktikë të detyrimeve të kontrolluesve publikë dhe privatë. </w:t>
      </w:r>
    </w:p>
    <w:p w:rsidR="00D72DB6" w:rsidRPr="00D72DB6" w:rsidRDefault="00D72DB6" w:rsidP="00D72DB6">
      <w:pPr>
        <w:spacing w:line="360" w:lineRule="auto"/>
        <w:jc w:val="both"/>
        <w:rPr>
          <w:rFonts w:ascii="Times New Roman" w:hAnsi="Times New Roman"/>
          <w:sz w:val="24"/>
          <w:szCs w:val="24"/>
        </w:rPr>
      </w:pPr>
      <w:r w:rsidRPr="00D72DB6">
        <w:rPr>
          <w:rFonts w:ascii="Times New Roman" w:hAnsi="Times New Roman"/>
          <w:sz w:val="24"/>
          <w:szCs w:val="24"/>
        </w:rPr>
        <w:t xml:space="preserve">Në këtë kuadër janë zhvilluar hetime administrative pranë kontrolluesve publikë dhe privatë me fokus të veçantë fushat që kanë impakt më të madh në privatësi dhe që reflektojnë zhvillimet teknologjike në përpunimin e të dhënave personale. Hetimet administrative kanë synuar sensibilizimin e sektorëve specifikë mbi rëndësinë e mbrojtjes së të dhënave personale dhe evidentimin e problematikave gjatë përpunimit të të dhënave personale në sektorë të ndryshëm, me qëllim përmirësimin e tyre në kuadër të zbatimit të legjislacionit në fuqi. </w:t>
      </w:r>
    </w:p>
    <w:p w:rsidR="00D72DB6" w:rsidRPr="00D72DB6" w:rsidRDefault="00D72DB6" w:rsidP="00D72DB6">
      <w:pPr>
        <w:spacing w:line="360" w:lineRule="auto"/>
        <w:jc w:val="both"/>
        <w:rPr>
          <w:rFonts w:ascii="Times New Roman" w:hAnsi="Times New Roman"/>
          <w:sz w:val="24"/>
          <w:szCs w:val="24"/>
        </w:rPr>
      </w:pPr>
      <w:r w:rsidRPr="00D72DB6">
        <w:rPr>
          <w:rFonts w:ascii="Times New Roman" w:hAnsi="Times New Roman"/>
          <w:sz w:val="24"/>
          <w:szCs w:val="24"/>
        </w:rPr>
        <w:t>Me  prioritet është trajtuar inspektimi për “Projektin e identifikimit dhe popullimit të adresës për çdo shtetas”, gjatë të cilit u konstatuan disa mangësi në zbatimin e tij në terren. Zyra e Komisionerit vlerëson gatishmërinë e kontrolluesve për të bashkëpunuar dhe për të përmbushur detyrimet ligjore në këtë fushë.</w:t>
      </w:r>
    </w:p>
    <w:p w:rsidR="00D72DB6" w:rsidRPr="00D72DB6" w:rsidRDefault="00D72DB6" w:rsidP="00D72DB6">
      <w:pPr>
        <w:spacing w:line="360" w:lineRule="auto"/>
        <w:jc w:val="both"/>
        <w:rPr>
          <w:rFonts w:ascii="Times New Roman" w:hAnsi="Times New Roman"/>
          <w:sz w:val="24"/>
          <w:szCs w:val="24"/>
        </w:rPr>
      </w:pPr>
      <w:r w:rsidRPr="00D72DB6">
        <w:rPr>
          <w:rFonts w:ascii="Times New Roman" w:hAnsi="Times New Roman"/>
          <w:sz w:val="24"/>
          <w:szCs w:val="24"/>
        </w:rPr>
        <w:lastRenderedPageBreak/>
        <w:t>Është e rëndësishme të theksojmë bashkëpunimin me Autoritetin Italian të Mbrojtjes së të Dhënave Personale (Garante) në kuadër të inspektimit të përbashkët të ushtruar pranë dy kontrolluesve që operojnë në sektorin call-center në territorin Shqiptar. Procedura e ndjekur përbën një risi për Zyrën e Komisionerit pasi gjatë këtij inspektimi, i cili u asistua edhe nga homologët italianë, u aplikuan teknika të reja sa i përket evidentimit të procedurave përpunuese gjatë marketingut telefonik me klientë shtetas italianë dhe shqiptarë. Problematikat e konstatuara lidhen me garantimin e të drejtave të subjekteve të të dhënave (pëlqimin dhe informimin), marrjen e masave të sigurisë dhe konfidencialitetit për të dhënat personale që përpunoheshin nëpërmjet rrjetit të telekomunikacionit dhe garantimin e transferimit të të dhënave të klientëve gjatë transferimit. Ky bashkëpunim mund të konsiderohet edhe si një hap paraprak në konkretizimin e zbatimit të Rregullores së Bashkimit Evropian lidhur me bashkëpunimin ndërkombëtar, e cila hyn në fuqi në maj të vitit 2018.</w:t>
      </w:r>
    </w:p>
    <w:p w:rsidR="00D72DB6" w:rsidRPr="00D72DB6" w:rsidRDefault="00D72DB6" w:rsidP="00D72DB6">
      <w:pPr>
        <w:pStyle w:val="Heading2"/>
        <w:spacing w:after="240"/>
        <w:rPr>
          <w:rFonts w:ascii="Times New Roman" w:hAnsi="Times New Roman" w:cs="Times New Roman"/>
          <w:sz w:val="24"/>
          <w:szCs w:val="24"/>
        </w:rPr>
      </w:pPr>
      <w:r w:rsidRPr="00D72DB6">
        <w:rPr>
          <w:rFonts w:ascii="Times New Roman" w:hAnsi="Times New Roman" w:cs="Times New Roman"/>
          <w:sz w:val="24"/>
          <w:szCs w:val="24"/>
        </w:rPr>
        <w:t xml:space="preserve"> </w:t>
      </w:r>
      <w:bookmarkStart w:id="16" w:name="_Toc507424889"/>
      <w:r w:rsidRPr="00D72DB6">
        <w:rPr>
          <w:rFonts w:ascii="Times New Roman" w:hAnsi="Times New Roman" w:cs="Times New Roman"/>
          <w:sz w:val="24"/>
          <w:szCs w:val="24"/>
        </w:rPr>
        <w:t>3.2 Trajtimi i ankesave</w:t>
      </w:r>
      <w:bookmarkEnd w:id="16"/>
      <w:r w:rsidRPr="00D72DB6">
        <w:rPr>
          <w:rFonts w:ascii="Times New Roman" w:hAnsi="Times New Roman" w:cs="Times New Roman"/>
          <w:sz w:val="24"/>
          <w:szCs w:val="24"/>
        </w:rPr>
        <w:t xml:space="preserve"> </w:t>
      </w:r>
    </w:p>
    <w:p w:rsidR="00D72DB6" w:rsidRPr="00D72DB6" w:rsidRDefault="00D72DB6" w:rsidP="00D72DB6">
      <w:pPr>
        <w:pStyle w:val="ListParagraph"/>
        <w:spacing w:line="360" w:lineRule="auto"/>
        <w:ind w:left="0"/>
        <w:jc w:val="both"/>
        <w:rPr>
          <w:rFonts w:ascii="Times New Roman" w:hAnsi="Times New Roman"/>
          <w:sz w:val="24"/>
          <w:szCs w:val="24"/>
        </w:rPr>
      </w:pPr>
      <w:r w:rsidRPr="00D72DB6">
        <w:rPr>
          <w:rFonts w:ascii="Times New Roman" w:hAnsi="Times New Roman"/>
          <w:sz w:val="24"/>
          <w:szCs w:val="24"/>
        </w:rPr>
        <w:t xml:space="preserve">Gjatë vitit 2017 pranë Zyrës së Komisionerit janë paraqitur </w:t>
      </w:r>
      <w:r w:rsidRPr="00D72DB6">
        <w:rPr>
          <w:rFonts w:ascii="Times New Roman" w:hAnsi="Times New Roman"/>
          <w:b/>
          <w:sz w:val="24"/>
          <w:szCs w:val="24"/>
        </w:rPr>
        <w:t>205</w:t>
      </w:r>
      <w:r w:rsidRPr="00D72DB6">
        <w:rPr>
          <w:rFonts w:ascii="Times New Roman" w:hAnsi="Times New Roman"/>
          <w:sz w:val="24"/>
          <w:szCs w:val="24"/>
        </w:rPr>
        <w:t xml:space="preserve"> ankesa për të drejtën e mbrojtjes së të dhënave personale prej të cilave 38 kanë rezultuar jashtë objektit ndërsa </w:t>
      </w:r>
      <w:r w:rsidRPr="00D72DB6">
        <w:rPr>
          <w:rFonts w:ascii="Times New Roman" w:hAnsi="Times New Roman"/>
          <w:b/>
          <w:sz w:val="24"/>
          <w:szCs w:val="24"/>
        </w:rPr>
        <w:t xml:space="preserve">167 </w:t>
      </w:r>
      <w:r w:rsidRPr="00D72DB6">
        <w:rPr>
          <w:rFonts w:ascii="Times New Roman" w:hAnsi="Times New Roman"/>
          <w:sz w:val="24"/>
          <w:szCs w:val="24"/>
        </w:rPr>
        <w:t xml:space="preserve">të tjera janë trajtuar sipas ligjit “Për mbrojtjen e të dhënave personale”.  Për zgjidhjen e drejtë dhe të plotë të ankesave janë zhvilluar inspektime administrative pranë kontrolluesve të ndryshëm dhe janë ndjekur të gjitha hapat procedurale administrative deri në përfundimin e çështjes objekt ankese.  </w:t>
      </w:r>
    </w:p>
    <w:p w:rsidR="00D72DB6" w:rsidRPr="00D72DB6" w:rsidRDefault="00D72DB6" w:rsidP="00D72DB6">
      <w:pPr>
        <w:pStyle w:val="ListParagraph"/>
        <w:spacing w:line="360" w:lineRule="auto"/>
        <w:ind w:left="0"/>
        <w:jc w:val="both"/>
        <w:rPr>
          <w:rFonts w:ascii="Times New Roman" w:hAnsi="Times New Roman"/>
          <w:sz w:val="24"/>
          <w:szCs w:val="24"/>
        </w:rPr>
      </w:pPr>
      <w:r w:rsidRPr="00D72DB6">
        <w:rPr>
          <w:rFonts w:ascii="Times New Roman" w:hAnsi="Times New Roman"/>
          <w:sz w:val="24"/>
          <w:szCs w:val="24"/>
        </w:rPr>
        <w:t xml:space="preserve">Objekt i ankesave të trajtuara kryesisht lidhet me: </w:t>
      </w:r>
    </w:p>
    <w:p w:rsidR="00D72DB6" w:rsidRPr="00D72DB6" w:rsidRDefault="00D72DB6" w:rsidP="00D72DB6">
      <w:pPr>
        <w:pStyle w:val="ListParagraph"/>
        <w:numPr>
          <w:ilvl w:val="0"/>
          <w:numId w:val="4"/>
        </w:numPr>
        <w:spacing w:after="120" w:line="360" w:lineRule="auto"/>
        <w:ind w:left="357" w:hanging="357"/>
        <w:jc w:val="both"/>
        <w:rPr>
          <w:rFonts w:ascii="Times New Roman" w:hAnsi="Times New Roman"/>
          <w:color w:val="000000" w:themeColor="text1"/>
          <w:sz w:val="24"/>
          <w:szCs w:val="24"/>
        </w:rPr>
      </w:pPr>
      <w:r w:rsidRPr="00D72DB6">
        <w:rPr>
          <w:rFonts w:ascii="Times New Roman" w:hAnsi="Times New Roman"/>
          <w:sz w:val="24"/>
          <w:szCs w:val="24"/>
        </w:rPr>
        <w:t>Cënimin e të drejtave të subjekteve të të dhënave personale (e drejta për akses, si një e drejtë e rëndësishme e subjektit të të dhënave, që lejon këtë të fundit, të marrë informacion nga kontrolluesi lidhur me përpunimin e të dhënave të tij);</w:t>
      </w:r>
      <w:r w:rsidRPr="00D72DB6">
        <w:rPr>
          <w:rFonts w:ascii="Times New Roman" w:hAnsi="Times New Roman"/>
          <w:bCs/>
          <w:sz w:val="24"/>
          <w:szCs w:val="24"/>
        </w:rPr>
        <w:t xml:space="preserve"> </w:t>
      </w:r>
    </w:p>
    <w:p w:rsidR="00D72DB6" w:rsidRPr="00D72DB6" w:rsidRDefault="00D72DB6" w:rsidP="00D72DB6">
      <w:pPr>
        <w:pStyle w:val="ListParagraph"/>
        <w:numPr>
          <w:ilvl w:val="0"/>
          <w:numId w:val="4"/>
        </w:numPr>
        <w:spacing w:after="120" w:line="360" w:lineRule="auto"/>
        <w:ind w:left="357" w:hanging="357"/>
        <w:jc w:val="both"/>
        <w:rPr>
          <w:rFonts w:ascii="Times New Roman" w:hAnsi="Times New Roman"/>
          <w:color w:val="000000" w:themeColor="text1"/>
          <w:sz w:val="24"/>
          <w:szCs w:val="24"/>
        </w:rPr>
      </w:pPr>
      <w:r w:rsidRPr="00D72DB6">
        <w:rPr>
          <w:rFonts w:ascii="Times New Roman" w:hAnsi="Times New Roman"/>
          <w:color w:val="000000" w:themeColor="text1"/>
          <w:sz w:val="24"/>
          <w:szCs w:val="24"/>
        </w:rPr>
        <w:t xml:space="preserve">Mungesa e sigurisë së të dhënave personale (përpunimi i të dhënave në rrjet dhe siguria online); </w:t>
      </w:r>
    </w:p>
    <w:p w:rsidR="00D72DB6" w:rsidRPr="00D72DB6" w:rsidRDefault="00D72DB6" w:rsidP="00D72DB6">
      <w:pPr>
        <w:pStyle w:val="ListParagraph"/>
        <w:numPr>
          <w:ilvl w:val="0"/>
          <w:numId w:val="4"/>
        </w:numPr>
        <w:spacing w:after="120" w:line="360" w:lineRule="auto"/>
        <w:ind w:left="357" w:hanging="357"/>
        <w:jc w:val="both"/>
        <w:rPr>
          <w:rFonts w:ascii="Times New Roman" w:hAnsi="Times New Roman"/>
          <w:color w:val="000000" w:themeColor="text1"/>
          <w:sz w:val="24"/>
          <w:szCs w:val="24"/>
        </w:rPr>
      </w:pPr>
      <w:r w:rsidRPr="00D72DB6">
        <w:rPr>
          <w:rFonts w:ascii="Times New Roman" w:hAnsi="Times New Roman"/>
          <w:color w:val="000000" w:themeColor="text1"/>
          <w:sz w:val="24"/>
          <w:szCs w:val="24"/>
        </w:rPr>
        <w:t xml:space="preserve">Përpunimi i të dhënave në mënyrë jo të drejtë dhe të ligjshme (përhapja në mediat dhe portalet online); </w:t>
      </w:r>
    </w:p>
    <w:p w:rsidR="00D72DB6" w:rsidRPr="00D72DB6" w:rsidRDefault="00D72DB6" w:rsidP="00D72DB6">
      <w:pPr>
        <w:pStyle w:val="ListParagraph"/>
        <w:numPr>
          <w:ilvl w:val="0"/>
          <w:numId w:val="4"/>
        </w:numPr>
        <w:spacing w:after="120" w:line="360" w:lineRule="auto"/>
        <w:ind w:left="357" w:hanging="357"/>
        <w:jc w:val="both"/>
        <w:rPr>
          <w:rFonts w:ascii="Times New Roman" w:hAnsi="Times New Roman"/>
          <w:sz w:val="24"/>
          <w:szCs w:val="24"/>
        </w:rPr>
      </w:pPr>
      <w:r w:rsidRPr="00D72DB6">
        <w:rPr>
          <w:rFonts w:ascii="Times New Roman" w:hAnsi="Times New Roman"/>
          <w:sz w:val="24"/>
          <w:szCs w:val="24"/>
        </w:rPr>
        <w:t>Vendosjes së kamerave në ambiente publike dhe private;</w:t>
      </w:r>
    </w:p>
    <w:p w:rsidR="00D72DB6" w:rsidRPr="00D72DB6" w:rsidRDefault="00D72DB6" w:rsidP="00D72DB6">
      <w:pPr>
        <w:pStyle w:val="ListParagraph"/>
        <w:numPr>
          <w:ilvl w:val="0"/>
          <w:numId w:val="4"/>
        </w:numPr>
        <w:spacing w:after="120" w:line="360" w:lineRule="auto"/>
        <w:ind w:left="357" w:hanging="357"/>
        <w:jc w:val="both"/>
        <w:rPr>
          <w:rFonts w:ascii="Times New Roman" w:hAnsi="Times New Roman"/>
          <w:sz w:val="24"/>
          <w:szCs w:val="24"/>
        </w:rPr>
      </w:pPr>
      <w:r w:rsidRPr="00D72DB6">
        <w:rPr>
          <w:rFonts w:ascii="Times New Roman" w:hAnsi="Times New Roman"/>
          <w:sz w:val="24"/>
          <w:szCs w:val="24"/>
        </w:rPr>
        <w:t>Marketingut të drejtpërdrejtë në lidhje me komunikimet e pa kërkuara, nëpërmjet telefonit ose postës elektronike;</w:t>
      </w:r>
    </w:p>
    <w:p w:rsidR="00D72DB6" w:rsidRPr="00D72DB6" w:rsidRDefault="00D72DB6" w:rsidP="00D72DB6">
      <w:pPr>
        <w:pStyle w:val="ListParagraph"/>
        <w:numPr>
          <w:ilvl w:val="0"/>
          <w:numId w:val="4"/>
        </w:numPr>
        <w:spacing w:after="120" w:line="360" w:lineRule="auto"/>
        <w:ind w:left="357" w:hanging="357"/>
        <w:jc w:val="both"/>
        <w:rPr>
          <w:rFonts w:ascii="Times New Roman" w:hAnsi="Times New Roman"/>
          <w:color w:val="000000" w:themeColor="text1"/>
          <w:sz w:val="24"/>
          <w:szCs w:val="24"/>
        </w:rPr>
      </w:pPr>
      <w:r w:rsidRPr="00D72DB6">
        <w:rPr>
          <w:rFonts w:ascii="Times New Roman" w:hAnsi="Times New Roman"/>
          <w:sz w:val="24"/>
          <w:szCs w:val="24"/>
        </w:rPr>
        <w:t>Tejkalimi i afatit të mbledhjes së të dhënave personale për një qëllim të caktuar.</w:t>
      </w:r>
    </w:p>
    <w:p w:rsidR="00D72DB6" w:rsidRPr="00D72DB6" w:rsidRDefault="00D72DB6" w:rsidP="00D72DB6">
      <w:pPr>
        <w:spacing w:after="0" w:line="360" w:lineRule="auto"/>
        <w:jc w:val="both"/>
        <w:rPr>
          <w:rFonts w:ascii="Times New Roman" w:hAnsi="Times New Roman"/>
          <w:color w:val="000000" w:themeColor="text1"/>
          <w:sz w:val="24"/>
          <w:szCs w:val="24"/>
        </w:rPr>
      </w:pPr>
      <w:r w:rsidRPr="00D72DB6">
        <w:rPr>
          <w:rFonts w:ascii="Times New Roman" w:hAnsi="Times New Roman"/>
          <w:b/>
          <w:bCs/>
          <w:color w:val="000000" w:themeColor="text1"/>
          <w:sz w:val="24"/>
          <w:szCs w:val="24"/>
        </w:rPr>
        <w:t>Ankesa në vite 2014-2017</w:t>
      </w:r>
    </w:p>
    <w:p w:rsidR="00D72DB6" w:rsidRPr="00D72DB6" w:rsidRDefault="00D72DB6" w:rsidP="00D72DB6">
      <w:pPr>
        <w:spacing w:after="0" w:line="360" w:lineRule="auto"/>
        <w:jc w:val="both"/>
        <w:rPr>
          <w:rFonts w:ascii="Times New Roman" w:hAnsi="Times New Roman"/>
          <w:color w:val="000000" w:themeColor="text1"/>
          <w:sz w:val="24"/>
          <w:szCs w:val="24"/>
        </w:rPr>
      </w:pPr>
      <w:r w:rsidRPr="00D72DB6">
        <w:rPr>
          <w:rFonts w:ascii="Times New Roman" w:hAnsi="Times New Roman"/>
          <w:b/>
          <w:noProof/>
          <w:color w:val="0070C0"/>
          <w:sz w:val="24"/>
          <w:szCs w:val="24"/>
          <w:lang w:eastAsia="sq-AL"/>
        </w:rPr>
        <w:lastRenderedPageBreak/>
        <w:drawing>
          <wp:inline distT="0" distB="0" distL="0" distR="0">
            <wp:extent cx="5743575" cy="1924050"/>
            <wp:effectExtent l="0" t="0" r="9525"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D72DB6" w:rsidRPr="00D72DB6" w:rsidRDefault="00D72DB6" w:rsidP="00D72DB6">
      <w:pPr>
        <w:spacing w:after="0" w:line="360" w:lineRule="auto"/>
        <w:jc w:val="both"/>
        <w:rPr>
          <w:rFonts w:ascii="Times New Roman" w:hAnsi="Times New Roman"/>
          <w:color w:val="000000" w:themeColor="text1"/>
          <w:sz w:val="24"/>
          <w:szCs w:val="24"/>
        </w:rPr>
      </w:pPr>
    </w:p>
    <w:p w:rsidR="00D72DB6" w:rsidRPr="00D72DB6" w:rsidRDefault="00D72DB6" w:rsidP="00D72DB6">
      <w:pPr>
        <w:spacing w:line="360" w:lineRule="auto"/>
        <w:jc w:val="both"/>
        <w:rPr>
          <w:rFonts w:ascii="Times New Roman" w:hAnsi="Times New Roman"/>
          <w:color w:val="000000" w:themeColor="text1"/>
          <w:sz w:val="24"/>
          <w:szCs w:val="24"/>
        </w:rPr>
      </w:pPr>
      <w:r w:rsidRPr="00D72DB6">
        <w:rPr>
          <w:rStyle w:val="hps"/>
          <w:rFonts w:ascii="Times New Roman" w:hAnsi="Times New Roman"/>
          <w:sz w:val="24"/>
          <w:szCs w:val="24"/>
        </w:rPr>
        <w:t>Rritja e numrit të ankesave të paraqitura këtë vit krahasuar me vitet e mëparshme, si dhe k</w:t>
      </w:r>
      <w:r w:rsidRPr="00D72DB6">
        <w:rPr>
          <w:rFonts w:ascii="Times New Roman" w:eastAsia="Times New Roman" w:hAnsi="Times New Roman"/>
          <w:sz w:val="24"/>
          <w:szCs w:val="24"/>
        </w:rPr>
        <w:t>ompleksiteti i rasteve dhe i hetimeve administrative të zhvilluara nga Zyra e Komisionerit janë tregues i ndërgjegjësimit të qytetarëve dhe i njohjes së tyre me të drejtat që i garanton ligji për mbrojtjen e të dhënave personale.</w:t>
      </w:r>
    </w:p>
    <w:p w:rsidR="00D72DB6" w:rsidRPr="00D72DB6" w:rsidRDefault="00D72DB6" w:rsidP="00D72DB6">
      <w:pPr>
        <w:pStyle w:val="Heading2"/>
        <w:spacing w:after="240"/>
        <w:rPr>
          <w:rFonts w:ascii="Times New Roman" w:hAnsi="Times New Roman" w:cs="Times New Roman"/>
          <w:sz w:val="24"/>
          <w:szCs w:val="24"/>
        </w:rPr>
      </w:pPr>
      <w:r w:rsidRPr="00D72DB6">
        <w:rPr>
          <w:rFonts w:ascii="Times New Roman" w:hAnsi="Times New Roman" w:cs="Times New Roman"/>
          <w:sz w:val="24"/>
          <w:szCs w:val="24"/>
        </w:rPr>
        <w:t xml:space="preserve"> </w:t>
      </w:r>
      <w:bookmarkStart w:id="17" w:name="_Toc507424890"/>
      <w:r w:rsidRPr="00D72DB6">
        <w:rPr>
          <w:rFonts w:ascii="Times New Roman" w:hAnsi="Times New Roman" w:cs="Times New Roman"/>
          <w:sz w:val="24"/>
          <w:szCs w:val="24"/>
        </w:rPr>
        <w:t>3.3 Hetimet administrative</w:t>
      </w:r>
      <w:bookmarkEnd w:id="17"/>
    </w:p>
    <w:p w:rsidR="00D72DB6" w:rsidRPr="00D72DB6" w:rsidRDefault="00D72DB6" w:rsidP="00D72DB6">
      <w:pPr>
        <w:spacing w:after="120" w:line="360" w:lineRule="auto"/>
        <w:jc w:val="both"/>
        <w:rPr>
          <w:rFonts w:ascii="Times New Roman" w:eastAsia="Times New Roman" w:hAnsi="Times New Roman"/>
          <w:sz w:val="24"/>
          <w:szCs w:val="24"/>
        </w:rPr>
      </w:pPr>
      <w:r w:rsidRPr="00D72DB6">
        <w:rPr>
          <w:rFonts w:ascii="Times New Roman" w:hAnsi="Times New Roman"/>
          <w:sz w:val="24"/>
          <w:szCs w:val="24"/>
        </w:rPr>
        <w:t xml:space="preserve">Gjatë këtij viti janë kryer </w:t>
      </w:r>
      <w:r w:rsidRPr="00D72DB6">
        <w:rPr>
          <w:rFonts w:ascii="Times New Roman" w:hAnsi="Times New Roman"/>
          <w:b/>
          <w:sz w:val="24"/>
          <w:szCs w:val="24"/>
        </w:rPr>
        <w:t>184</w:t>
      </w:r>
      <w:r w:rsidRPr="00D72DB6">
        <w:rPr>
          <w:rFonts w:ascii="Times New Roman" w:hAnsi="Times New Roman"/>
          <w:sz w:val="24"/>
          <w:szCs w:val="24"/>
        </w:rPr>
        <w:t xml:space="preserve"> inspektime, prej të cilave </w:t>
      </w:r>
      <w:r w:rsidRPr="00D72DB6">
        <w:rPr>
          <w:rFonts w:ascii="Times New Roman" w:hAnsi="Times New Roman"/>
          <w:b/>
          <w:sz w:val="24"/>
          <w:szCs w:val="24"/>
        </w:rPr>
        <w:t>153</w:t>
      </w:r>
      <w:r w:rsidRPr="00D72DB6">
        <w:rPr>
          <w:rFonts w:ascii="Times New Roman" w:hAnsi="Times New Roman"/>
          <w:sz w:val="24"/>
          <w:szCs w:val="24"/>
        </w:rPr>
        <w:t xml:space="preserve"> në terren dhe </w:t>
      </w:r>
      <w:r w:rsidRPr="00D72DB6">
        <w:rPr>
          <w:rFonts w:ascii="Times New Roman" w:hAnsi="Times New Roman"/>
          <w:b/>
          <w:sz w:val="24"/>
          <w:szCs w:val="24"/>
        </w:rPr>
        <w:t>31</w:t>
      </w:r>
      <w:r w:rsidRPr="00D72DB6">
        <w:rPr>
          <w:rFonts w:ascii="Times New Roman" w:hAnsi="Times New Roman"/>
          <w:sz w:val="24"/>
          <w:szCs w:val="24"/>
        </w:rPr>
        <w:t xml:space="preserve"> inspektime online. </w:t>
      </w:r>
      <w:r w:rsidRPr="00D72DB6">
        <w:rPr>
          <w:rFonts w:ascii="Times New Roman" w:eastAsia="Times New Roman" w:hAnsi="Times New Roman"/>
          <w:sz w:val="24"/>
          <w:szCs w:val="24"/>
        </w:rPr>
        <w:t>Sektorët kryesorë të kontrolleve administrative janë:</w:t>
      </w:r>
    </w:p>
    <w:p w:rsidR="00D72DB6" w:rsidRPr="00D72DB6" w:rsidRDefault="00D72DB6" w:rsidP="00D72DB6">
      <w:pPr>
        <w:pStyle w:val="ListParagraph"/>
        <w:numPr>
          <w:ilvl w:val="0"/>
          <w:numId w:val="5"/>
        </w:numPr>
        <w:spacing w:after="0" w:line="360" w:lineRule="auto"/>
        <w:ind w:left="357" w:hanging="357"/>
        <w:rPr>
          <w:rFonts w:ascii="Times New Roman" w:hAnsi="Times New Roman"/>
          <w:sz w:val="24"/>
          <w:szCs w:val="24"/>
        </w:rPr>
      </w:pPr>
      <w:r w:rsidRPr="00D72DB6">
        <w:rPr>
          <w:rFonts w:ascii="Times New Roman" w:hAnsi="Times New Roman"/>
          <w:sz w:val="24"/>
          <w:szCs w:val="24"/>
        </w:rPr>
        <w:t xml:space="preserve">Shëndetësia; </w:t>
      </w:r>
    </w:p>
    <w:p w:rsidR="00D72DB6" w:rsidRPr="00D72DB6" w:rsidRDefault="00D72DB6" w:rsidP="00D72DB6">
      <w:pPr>
        <w:pStyle w:val="ListParagraph"/>
        <w:numPr>
          <w:ilvl w:val="0"/>
          <w:numId w:val="5"/>
        </w:numPr>
        <w:spacing w:after="0" w:line="360" w:lineRule="auto"/>
        <w:ind w:left="357" w:hanging="357"/>
        <w:rPr>
          <w:rFonts w:ascii="Times New Roman" w:hAnsi="Times New Roman"/>
          <w:sz w:val="24"/>
          <w:szCs w:val="24"/>
        </w:rPr>
      </w:pPr>
      <w:r w:rsidRPr="00D72DB6">
        <w:rPr>
          <w:rFonts w:ascii="Times New Roman" w:hAnsi="Times New Roman"/>
          <w:sz w:val="24"/>
          <w:szCs w:val="24"/>
        </w:rPr>
        <w:t>Sektori bankar;</w:t>
      </w:r>
    </w:p>
    <w:p w:rsidR="00D72DB6" w:rsidRPr="00D72DB6" w:rsidRDefault="00D72DB6" w:rsidP="00D72DB6">
      <w:pPr>
        <w:pStyle w:val="ListParagraph"/>
        <w:numPr>
          <w:ilvl w:val="0"/>
          <w:numId w:val="5"/>
        </w:numPr>
        <w:spacing w:after="0" w:line="360" w:lineRule="auto"/>
        <w:ind w:left="357" w:hanging="357"/>
        <w:rPr>
          <w:rFonts w:ascii="Times New Roman" w:hAnsi="Times New Roman"/>
          <w:sz w:val="24"/>
          <w:szCs w:val="24"/>
        </w:rPr>
      </w:pPr>
      <w:r w:rsidRPr="00D72DB6">
        <w:rPr>
          <w:rFonts w:ascii="Times New Roman" w:hAnsi="Times New Roman"/>
          <w:sz w:val="24"/>
          <w:szCs w:val="24"/>
        </w:rPr>
        <w:t xml:space="preserve">Telekomunikacion, (procesi i shkatërrimit të të dhënave personale); </w:t>
      </w:r>
    </w:p>
    <w:p w:rsidR="00D72DB6" w:rsidRPr="00D72DB6" w:rsidRDefault="00D72DB6" w:rsidP="00D72DB6">
      <w:pPr>
        <w:pStyle w:val="ListParagraph"/>
        <w:numPr>
          <w:ilvl w:val="0"/>
          <w:numId w:val="5"/>
        </w:numPr>
        <w:spacing w:after="0" w:line="360" w:lineRule="auto"/>
        <w:ind w:left="357" w:hanging="357"/>
        <w:rPr>
          <w:rFonts w:ascii="Times New Roman" w:hAnsi="Times New Roman"/>
          <w:sz w:val="24"/>
          <w:szCs w:val="24"/>
        </w:rPr>
      </w:pPr>
      <w:r w:rsidRPr="00D72DB6">
        <w:rPr>
          <w:rFonts w:ascii="Times New Roman" w:hAnsi="Times New Roman"/>
          <w:sz w:val="24"/>
          <w:szCs w:val="24"/>
        </w:rPr>
        <w:t>Marketingu i drejtpërdrejtë;</w:t>
      </w:r>
    </w:p>
    <w:p w:rsidR="00D72DB6" w:rsidRPr="00D72DB6" w:rsidRDefault="00D72DB6" w:rsidP="00D72DB6">
      <w:pPr>
        <w:pStyle w:val="ListParagraph"/>
        <w:numPr>
          <w:ilvl w:val="0"/>
          <w:numId w:val="5"/>
        </w:numPr>
        <w:spacing w:after="0" w:line="360" w:lineRule="auto"/>
        <w:ind w:left="357" w:hanging="357"/>
        <w:rPr>
          <w:rFonts w:ascii="Times New Roman" w:hAnsi="Times New Roman"/>
          <w:sz w:val="24"/>
          <w:szCs w:val="24"/>
        </w:rPr>
      </w:pPr>
      <w:r w:rsidRPr="00D72DB6">
        <w:rPr>
          <w:rFonts w:ascii="Times New Roman" w:hAnsi="Times New Roman"/>
          <w:sz w:val="24"/>
          <w:szCs w:val="24"/>
        </w:rPr>
        <w:t>Agjencitë turistike;</w:t>
      </w:r>
    </w:p>
    <w:p w:rsidR="00D72DB6" w:rsidRPr="00D72DB6" w:rsidRDefault="00D72DB6" w:rsidP="00D72DB6">
      <w:pPr>
        <w:pStyle w:val="ListParagraph"/>
        <w:numPr>
          <w:ilvl w:val="0"/>
          <w:numId w:val="5"/>
        </w:numPr>
        <w:spacing w:after="0" w:line="360" w:lineRule="auto"/>
        <w:ind w:left="357" w:hanging="357"/>
        <w:rPr>
          <w:rFonts w:ascii="Times New Roman" w:hAnsi="Times New Roman"/>
          <w:sz w:val="24"/>
          <w:szCs w:val="24"/>
        </w:rPr>
      </w:pPr>
      <w:r w:rsidRPr="00D72DB6">
        <w:rPr>
          <w:rFonts w:ascii="Times New Roman" w:hAnsi="Times New Roman"/>
          <w:sz w:val="24"/>
          <w:szCs w:val="24"/>
        </w:rPr>
        <w:t>Call-center;</w:t>
      </w:r>
    </w:p>
    <w:p w:rsidR="00D72DB6" w:rsidRPr="00D72DB6" w:rsidRDefault="00D72DB6" w:rsidP="00D72DB6">
      <w:pPr>
        <w:pStyle w:val="ListParagraph"/>
        <w:numPr>
          <w:ilvl w:val="0"/>
          <w:numId w:val="5"/>
        </w:numPr>
        <w:spacing w:after="0" w:line="360" w:lineRule="auto"/>
        <w:ind w:left="357" w:hanging="357"/>
        <w:rPr>
          <w:rFonts w:ascii="Times New Roman" w:hAnsi="Times New Roman"/>
          <w:sz w:val="24"/>
          <w:szCs w:val="24"/>
        </w:rPr>
      </w:pPr>
      <w:r w:rsidRPr="00D72DB6">
        <w:rPr>
          <w:rFonts w:ascii="Times New Roman" w:hAnsi="Times New Roman"/>
          <w:sz w:val="24"/>
          <w:szCs w:val="24"/>
        </w:rPr>
        <w:t>Arsimi i lartë universitar publik dhe privat;</w:t>
      </w:r>
    </w:p>
    <w:p w:rsidR="00D72DB6" w:rsidRPr="00D72DB6" w:rsidRDefault="00D72DB6" w:rsidP="00D72DB6">
      <w:pPr>
        <w:pStyle w:val="ListParagraph"/>
        <w:numPr>
          <w:ilvl w:val="0"/>
          <w:numId w:val="5"/>
        </w:numPr>
        <w:spacing w:after="0" w:line="360" w:lineRule="auto"/>
        <w:ind w:left="357" w:hanging="357"/>
        <w:rPr>
          <w:rFonts w:ascii="Times New Roman" w:hAnsi="Times New Roman"/>
          <w:sz w:val="24"/>
          <w:szCs w:val="24"/>
        </w:rPr>
      </w:pPr>
      <w:r w:rsidRPr="00D72DB6">
        <w:rPr>
          <w:rFonts w:ascii="Times New Roman" w:hAnsi="Times New Roman"/>
          <w:sz w:val="24"/>
          <w:szCs w:val="24"/>
        </w:rPr>
        <w:t>Institucione publike dhe private të kujdesit shoqëror;</w:t>
      </w:r>
    </w:p>
    <w:p w:rsidR="00D72DB6" w:rsidRPr="00D72DB6" w:rsidRDefault="00D72DB6" w:rsidP="00D72DB6">
      <w:pPr>
        <w:pStyle w:val="ListParagraph"/>
        <w:numPr>
          <w:ilvl w:val="0"/>
          <w:numId w:val="5"/>
        </w:numPr>
        <w:spacing w:after="0" w:line="360" w:lineRule="auto"/>
        <w:ind w:left="357" w:hanging="357"/>
        <w:rPr>
          <w:rFonts w:ascii="Times New Roman" w:hAnsi="Times New Roman"/>
          <w:sz w:val="24"/>
          <w:szCs w:val="24"/>
        </w:rPr>
      </w:pPr>
      <w:r w:rsidRPr="00D72DB6">
        <w:rPr>
          <w:rFonts w:ascii="Times New Roman" w:hAnsi="Times New Roman"/>
          <w:sz w:val="24"/>
          <w:szCs w:val="24"/>
        </w:rPr>
        <w:t>Shoqëri Private të Sigurisë Fizike;</w:t>
      </w:r>
    </w:p>
    <w:p w:rsidR="00D72DB6" w:rsidRPr="00D72DB6" w:rsidRDefault="00D72DB6" w:rsidP="00D72DB6">
      <w:pPr>
        <w:pStyle w:val="ListParagraph"/>
        <w:numPr>
          <w:ilvl w:val="0"/>
          <w:numId w:val="5"/>
        </w:numPr>
        <w:spacing w:after="0" w:line="360" w:lineRule="auto"/>
        <w:ind w:left="357" w:hanging="357"/>
        <w:rPr>
          <w:rFonts w:ascii="Times New Roman" w:hAnsi="Times New Roman"/>
          <w:sz w:val="24"/>
          <w:szCs w:val="24"/>
        </w:rPr>
      </w:pPr>
      <w:r w:rsidRPr="00D72DB6">
        <w:rPr>
          <w:rFonts w:ascii="Times New Roman" w:hAnsi="Times New Roman"/>
          <w:sz w:val="24"/>
          <w:szCs w:val="24"/>
        </w:rPr>
        <w:t>Institucione të Ekzekutimit të Vendimeve Penale.</w:t>
      </w:r>
    </w:p>
    <w:p w:rsidR="00D72DB6" w:rsidRPr="00D72DB6" w:rsidRDefault="00D72DB6" w:rsidP="00D72DB6">
      <w:pPr>
        <w:pStyle w:val="ListParagraph"/>
        <w:spacing w:after="0" w:line="360" w:lineRule="auto"/>
        <w:ind w:left="360"/>
        <w:rPr>
          <w:rFonts w:ascii="Times New Roman" w:hAnsi="Times New Roman"/>
          <w:sz w:val="24"/>
          <w:szCs w:val="24"/>
        </w:rPr>
      </w:pPr>
    </w:p>
    <w:p w:rsidR="00D72DB6" w:rsidRPr="00D72DB6" w:rsidRDefault="00D72DB6" w:rsidP="00D72DB6">
      <w:pPr>
        <w:spacing w:line="360" w:lineRule="auto"/>
        <w:jc w:val="both"/>
        <w:rPr>
          <w:rFonts w:ascii="Times New Roman" w:hAnsi="Times New Roman"/>
          <w:sz w:val="24"/>
          <w:szCs w:val="24"/>
        </w:rPr>
      </w:pPr>
      <w:r w:rsidRPr="00D72DB6">
        <w:rPr>
          <w:rFonts w:ascii="Times New Roman" w:hAnsi="Times New Roman"/>
          <w:sz w:val="24"/>
          <w:szCs w:val="24"/>
        </w:rPr>
        <w:t xml:space="preserve">Janë zhvilluar </w:t>
      </w:r>
      <w:r w:rsidRPr="00D72DB6">
        <w:rPr>
          <w:rFonts w:ascii="Times New Roman" w:hAnsi="Times New Roman"/>
          <w:b/>
          <w:sz w:val="24"/>
          <w:szCs w:val="24"/>
        </w:rPr>
        <w:t xml:space="preserve">95 </w:t>
      </w:r>
      <w:r w:rsidRPr="00D72DB6">
        <w:rPr>
          <w:rFonts w:ascii="Times New Roman" w:hAnsi="Times New Roman"/>
          <w:sz w:val="24"/>
          <w:szCs w:val="24"/>
        </w:rPr>
        <w:t xml:space="preserve">seanca dëgjimore, </w:t>
      </w:r>
      <w:r w:rsidRPr="00D72DB6">
        <w:rPr>
          <w:rFonts w:ascii="Times New Roman" w:hAnsi="Times New Roman"/>
          <w:bCs/>
          <w:sz w:val="24"/>
          <w:szCs w:val="24"/>
        </w:rPr>
        <w:t>pasi kontrolluesit janë njoftuar paraprakisht dhe në respektim të të drejtës së subjekteve për t’u dëgjuar në zbatim të ligjit nr. 44/2015</w:t>
      </w:r>
      <w:r w:rsidRPr="00D72DB6">
        <w:rPr>
          <w:rFonts w:ascii="Times New Roman" w:hAnsi="Times New Roman"/>
          <w:sz w:val="24"/>
          <w:szCs w:val="24"/>
        </w:rPr>
        <w:t xml:space="preserve"> “Kodi i Procedurave Administrative të Republikës së Shqipërisë”. </w:t>
      </w:r>
    </w:p>
    <w:p w:rsidR="00D72DB6" w:rsidRPr="00D72DB6" w:rsidRDefault="00D72DB6" w:rsidP="00D72DB6">
      <w:pPr>
        <w:spacing w:line="360" w:lineRule="auto"/>
        <w:jc w:val="both"/>
        <w:rPr>
          <w:rFonts w:ascii="Times New Roman" w:hAnsi="Times New Roman"/>
          <w:sz w:val="24"/>
          <w:szCs w:val="24"/>
        </w:rPr>
      </w:pPr>
      <w:r w:rsidRPr="00D72DB6">
        <w:rPr>
          <w:rFonts w:ascii="Times New Roman" w:hAnsi="Times New Roman"/>
          <w:sz w:val="24"/>
          <w:szCs w:val="24"/>
        </w:rPr>
        <w:t>Pas përfundimit të procedurës administrative, Zyra e Komisionerit është shprehur me aktet përkatëse.</w:t>
      </w:r>
    </w:p>
    <w:p w:rsidR="00D72DB6" w:rsidRPr="00D72DB6" w:rsidRDefault="00D72DB6" w:rsidP="00D72DB6">
      <w:pPr>
        <w:spacing w:line="360" w:lineRule="auto"/>
        <w:jc w:val="both"/>
        <w:rPr>
          <w:rFonts w:ascii="Times New Roman" w:hAnsi="Times New Roman"/>
          <w:sz w:val="24"/>
          <w:szCs w:val="24"/>
        </w:rPr>
      </w:pPr>
      <w:r w:rsidRPr="00D72DB6">
        <w:rPr>
          <w:rFonts w:ascii="Times New Roman" w:hAnsi="Times New Roman"/>
          <w:noProof/>
          <w:color w:val="CC3300"/>
          <w:sz w:val="24"/>
          <w:szCs w:val="24"/>
          <w:lang w:eastAsia="sq-AL"/>
        </w:rPr>
        <w:lastRenderedPageBreak/>
        <w:drawing>
          <wp:inline distT="0" distB="0" distL="0" distR="0">
            <wp:extent cx="5743575" cy="3209925"/>
            <wp:effectExtent l="0" t="0" r="9525"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D72DB6" w:rsidRPr="00D72DB6" w:rsidRDefault="00D72DB6" w:rsidP="00D72DB6">
      <w:pPr>
        <w:spacing w:line="360" w:lineRule="auto"/>
        <w:jc w:val="both"/>
        <w:rPr>
          <w:rFonts w:ascii="Times New Roman" w:hAnsi="Times New Roman"/>
          <w:sz w:val="24"/>
          <w:szCs w:val="24"/>
        </w:rPr>
      </w:pPr>
      <w:r w:rsidRPr="00D72DB6">
        <w:rPr>
          <w:rFonts w:ascii="Times New Roman" w:hAnsi="Times New Roman"/>
          <w:sz w:val="24"/>
          <w:szCs w:val="24"/>
        </w:rPr>
        <w:t xml:space="preserve">Nga </w:t>
      </w:r>
      <w:r w:rsidRPr="00D72DB6">
        <w:rPr>
          <w:rFonts w:ascii="Times New Roman" w:hAnsi="Times New Roman"/>
          <w:b/>
          <w:sz w:val="24"/>
          <w:szCs w:val="24"/>
        </w:rPr>
        <w:t xml:space="preserve">153 </w:t>
      </w:r>
      <w:r w:rsidRPr="00D72DB6">
        <w:rPr>
          <w:rFonts w:ascii="Times New Roman" w:hAnsi="Times New Roman"/>
          <w:sz w:val="24"/>
          <w:szCs w:val="24"/>
        </w:rPr>
        <w:t xml:space="preserve">inspektime në terren kryesisht në qytetin e Tiranës, por edhe në rrethe, </w:t>
      </w:r>
      <w:r w:rsidRPr="00D72DB6">
        <w:rPr>
          <w:rFonts w:ascii="Times New Roman" w:hAnsi="Times New Roman"/>
          <w:b/>
          <w:sz w:val="24"/>
          <w:szCs w:val="24"/>
        </w:rPr>
        <w:t>52</w:t>
      </w:r>
      <w:r w:rsidRPr="00D72DB6">
        <w:rPr>
          <w:rFonts w:ascii="Times New Roman" w:hAnsi="Times New Roman"/>
          <w:sz w:val="24"/>
          <w:szCs w:val="24"/>
        </w:rPr>
        <w:t xml:space="preserve"> prej tyre janë  kryer në kontrollues publik dhe </w:t>
      </w:r>
      <w:r w:rsidRPr="00D72DB6">
        <w:rPr>
          <w:rFonts w:ascii="Times New Roman" w:hAnsi="Times New Roman"/>
          <w:b/>
          <w:sz w:val="24"/>
          <w:szCs w:val="24"/>
        </w:rPr>
        <w:t xml:space="preserve">101 </w:t>
      </w:r>
      <w:r w:rsidRPr="00D72DB6">
        <w:rPr>
          <w:rFonts w:ascii="Times New Roman" w:hAnsi="Times New Roman"/>
          <w:sz w:val="24"/>
          <w:szCs w:val="24"/>
        </w:rPr>
        <w:t xml:space="preserve">inspektime pranë kontrolluesve privat. </w:t>
      </w:r>
      <w:r w:rsidRPr="00D72DB6">
        <w:rPr>
          <w:rFonts w:ascii="Times New Roman" w:eastAsia="Times New Roman" w:hAnsi="Times New Roman"/>
          <w:sz w:val="24"/>
          <w:szCs w:val="24"/>
        </w:rPr>
        <w:t xml:space="preserve">Nga vetë Zyra e Komisionerit janë iniciuar </w:t>
      </w:r>
      <w:r w:rsidRPr="00D72DB6">
        <w:rPr>
          <w:rFonts w:ascii="Times New Roman" w:eastAsia="Times New Roman" w:hAnsi="Times New Roman"/>
          <w:b/>
          <w:sz w:val="24"/>
          <w:szCs w:val="24"/>
        </w:rPr>
        <w:t xml:space="preserve">130 </w:t>
      </w:r>
      <w:r w:rsidRPr="00D72DB6">
        <w:rPr>
          <w:rFonts w:ascii="Times New Roman" w:eastAsia="Times New Roman" w:hAnsi="Times New Roman"/>
          <w:sz w:val="24"/>
          <w:szCs w:val="24"/>
        </w:rPr>
        <w:t xml:space="preserve">inspektime, ndërsa në bazë të ankesave janë kryer </w:t>
      </w:r>
      <w:r w:rsidRPr="00D72DB6">
        <w:rPr>
          <w:rFonts w:ascii="Times New Roman" w:eastAsia="Times New Roman" w:hAnsi="Times New Roman"/>
          <w:b/>
          <w:sz w:val="24"/>
          <w:szCs w:val="24"/>
        </w:rPr>
        <w:t>23</w:t>
      </w:r>
      <w:r w:rsidRPr="00D72DB6">
        <w:rPr>
          <w:rFonts w:ascii="Times New Roman" w:eastAsia="Times New Roman" w:hAnsi="Times New Roman"/>
          <w:sz w:val="24"/>
          <w:szCs w:val="24"/>
        </w:rPr>
        <w:t xml:space="preserve"> inspektime.   </w:t>
      </w:r>
    </w:p>
    <w:p w:rsidR="00D72DB6" w:rsidRPr="00D72DB6" w:rsidRDefault="00D72DB6" w:rsidP="00D72DB6">
      <w:pPr>
        <w:spacing w:after="240" w:line="360" w:lineRule="auto"/>
        <w:jc w:val="both"/>
        <w:rPr>
          <w:rFonts w:ascii="Times New Roman" w:hAnsi="Times New Roman"/>
          <w:b/>
          <w:sz w:val="24"/>
          <w:szCs w:val="24"/>
        </w:rPr>
      </w:pPr>
      <w:r w:rsidRPr="00D72DB6">
        <w:rPr>
          <w:rFonts w:ascii="Times New Roman" w:hAnsi="Times New Roman"/>
          <w:sz w:val="24"/>
          <w:szCs w:val="24"/>
        </w:rPr>
        <w:t xml:space="preserve">Inspektimet online janë realizuar kryesisht lidhur me faqet e internetit të agjencive turistike si dhe në sektorin bankar në lidhje me shërbimet online që ata ofrojnë. </w:t>
      </w:r>
    </w:p>
    <w:p w:rsidR="00D72DB6" w:rsidRPr="00D72DB6" w:rsidRDefault="003C6EA5" w:rsidP="00D72DB6">
      <w:pPr>
        <w:spacing w:line="360" w:lineRule="auto"/>
        <w:jc w:val="both"/>
        <w:rPr>
          <w:rFonts w:ascii="Times New Roman" w:eastAsia="Times New Roman" w:hAnsi="Times New Roman"/>
          <w:sz w:val="24"/>
          <w:szCs w:val="24"/>
        </w:rPr>
      </w:pPr>
      <w:r w:rsidRPr="003C6EA5">
        <w:rPr>
          <w:rFonts w:ascii="Times New Roman" w:hAnsi="Times New Roman"/>
          <w:noProof/>
          <w:sz w:val="24"/>
          <w:szCs w:val="24"/>
          <w:lang w:eastAsia="sq-AL"/>
        </w:rPr>
        <w:pict>
          <v:shapetype id="_x0000_t50" coordsize="21600,21600" o:spt="50" adj="-8280,24300,-1800,4050" path="m@0@1l@2@3nfem@2,l@2,21600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v:shapetype>
          <v:shape id="Line Callout 1 (Border and Accent Bar) 15" o:spid="_x0000_s1026" type="#_x0000_t50" style="position:absolute;left:0;text-align:left;margin-left:355.45pt;margin-top:91.7pt;width:132.1pt;height:53.3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tgF9wIAAIIGAAAOAAAAZHJzL2Uyb0RvYy54bWysVUtPGzEQvlfqf7B8ag+w2bwTsUEhiKpS&#10;BKhQcXa8drKV13Zt59Vf3/FjN6GgHqpyMDPrmc8z3zxydX2oBdoxYyslC5xfdjBikqqykusCf3++&#10;uxhjZB2RJRFKsgIfmcXXs48frvZ6yrpqo0TJDAIQaad7XeCNc3qaZZZuWE3spdJMwiVXpiYOVLPO&#10;SkP2gF6LrNvpDLO9MqU2ijJr4ettvMSzgM85o+6Bc8scEgWG2Fw4TThX/sxmV2S6NkRvKprCIP8Q&#10;RU0qCY+2ULfEEbQ11RuouqJGWcXdJVV1pjivKAs5QDZ5549snjZEs5ALkGN1S5P9f7D0fvdoUFVC&#10;7QYYSVJDjZaVZGhBhFBbh3L06QYohiJBEdGcUiYduiHmMwIHYG+v7RRAnvSjSZoF0VNx4Kb2/yFJ&#10;dAiMH1vG2cEhCh/z4Wg0HEFhKNyBPOgH0OzkrY11X5iqkRcKTEIAMaIUYh6IJ7uldaECZUqDlD9y&#10;jHgtoKA7IlA+Hg2agp/ZdM9tLsa9Xi81xZlN75VNt5cPxm+N+q+MeqPhJPdGkEuKDaQmGx+oVaIq&#10;7yohguIbni2EQRBqgVfrxveVlZBvHc161boNxpPJbT+9euYJL3vXzBcrlidI7iiYBxTyG+PQBFCQ&#10;biAzjN8pmkh65NluSMlikIMO/DWPNfGHhAOgR+aQXoudABrLCNJgR6aSvXdlYXpb587fAovOrUd4&#10;WUnXOteVVOY9AOEannm0b0iK1HiW3GF1SJ29UuURpsWouEaspncVdOWSWPdIDLQZNDLsQvcABxdq&#10;X2CVJIw2yvx677u3h3GGW4z2sIcKbH9uiWEYia8SBn2S9/t+cQWlPxh1QTHnN6vzG7mtFwr6Bxof&#10;oguit3eiEblR9QvM89y/CldEUni7wNSZRlm4uB9h6VI2nwczWFaauKV80tSDe4J9Kz8fXojRaTQd&#10;DPW9anZW6vpYmZOt95RqvnWKV85feoojr0mBRRd6KC1lv0nP9WB1+umY/QYAAP//AwBQSwMEFAAG&#10;AAgAAAAhAAx28dXgAAAACwEAAA8AAABkcnMvZG93bnJldi54bWxMj8FOwzAQRO9I/IO1SNyonQJt&#10;E+JUUIQ4cWhBPTvxNokar6PYaVO+nuUEx9U8zbzN15PrxAmH0HrSkMwUCKTK25ZqDV+fb3crECEa&#10;sqbzhBouGGBdXF/lJrP+TFs87WItuIRCZjQ0MfaZlKFq0Jkw8z0SZwc/OBP5HGppB3PmctfJuVIL&#10;6UxLvNCYHjcNVsfd6DSUfrMl7y7H8Xv/vnh1H1PbDy9a395Mz08gIk7xD4ZffVaHgp1KP5INotOw&#10;TFTKKAer+wcQTKTLxwREqWGeqgRkkcv/PxQ/AAAA//8DAFBLAQItABQABgAIAAAAIQC2gziS/gAA&#10;AOEBAAATAAAAAAAAAAAAAAAAAAAAAABbQ29udGVudF9UeXBlc10ueG1sUEsBAi0AFAAGAAgAAAAh&#10;ADj9If/WAAAAlAEAAAsAAAAAAAAAAAAAAAAALwEAAF9yZWxzLy5yZWxzUEsBAi0AFAAGAAgAAAAh&#10;AMoG2AX3AgAAggYAAA4AAAAAAAAAAAAAAAAALgIAAGRycy9lMm9Eb2MueG1sUEsBAi0AFAAGAAgA&#10;AAAhAAx28dXgAAAACwEAAA8AAAAAAAAAAAAAAAAAUQUAAGRycy9kb3ducmV2LnhtbFBLBQYAAAAA&#10;BAAEAPMAAABeBgAAAAA=&#10;" adj="-8141,-5002" fillcolor="white [3212]" strokecolor="#5899d4" strokeweight="1pt">
            <v:textbox>
              <w:txbxContent>
                <w:p w:rsidR="00D72DB6" w:rsidRDefault="00D72DB6" w:rsidP="00D72DB6">
                  <w:pPr>
                    <w:jc w:val="center"/>
                    <w:rPr>
                      <w:rFonts w:ascii="Times New Roman" w:hAnsi="Times New Roman"/>
                      <w:color w:val="000000" w:themeColor="text1"/>
                      <w:sz w:val="24"/>
                      <w:szCs w:val="24"/>
                    </w:rPr>
                  </w:pPr>
                  <w:r>
                    <w:rPr>
                      <w:rFonts w:ascii="Times New Roman" w:hAnsi="Times New Roman"/>
                      <w:b/>
                      <w:color w:val="000000" w:themeColor="text1"/>
                      <w:sz w:val="24"/>
                      <w:szCs w:val="24"/>
                    </w:rPr>
                    <w:t>130</w:t>
                  </w:r>
                  <w:r>
                    <w:rPr>
                      <w:rFonts w:ascii="Times New Roman" w:hAnsi="Times New Roman"/>
                      <w:color w:val="000000" w:themeColor="text1"/>
                      <w:sz w:val="24"/>
                      <w:szCs w:val="24"/>
                    </w:rPr>
                    <w:t xml:space="preserve"> Inspektime iniciuar nga Zyra e Komisionerit</w:t>
                  </w:r>
                </w:p>
                <w:p w:rsidR="00D72DB6" w:rsidRDefault="00D72DB6" w:rsidP="00D72DB6"/>
              </w:txbxContent>
            </v:textbox>
          </v:shape>
        </w:pict>
      </w:r>
      <w:r w:rsidRPr="003C6EA5">
        <w:rPr>
          <w:rFonts w:ascii="Times New Roman" w:hAnsi="Times New Roman"/>
          <w:noProof/>
          <w:sz w:val="24"/>
          <w:szCs w:val="24"/>
          <w:lang w:eastAsia="sq-AL"/>
        </w:rPr>
        <w:pict>
          <v:shape id="Line Callout 1 (Border and Accent Bar) 14" o:spid="_x0000_s1027" type="#_x0000_t50" style="position:absolute;left:0;text-align:left;margin-left:356.05pt;margin-top:12pt;width:132.1pt;height:53.3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jAAMAAIgGAAAOAAAAZHJzL2Uyb0RvYy54bWysVUtv2zAMvg/YfxB02g6t7TyaNKhTpCk6&#10;DAjaYu3QsyJLsQdZ0iTl1V8/SrIdby12GNaDSlrkJ/LjI1fXh1qgHTO2UjLH2XmKEZNUFZXc5Pj7&#10;893ZFCPriCyIUJLl+Mgsvp5//HC11zM2UKUSBTMIQKSd7XWOS+f0LEksLVlN7LnSTMIlV6YmDlSz&#10;SQpD9oBei2SQphfJXplCG0WZtfD1Nl7iecDnnFH3wLllDokcQ2wunCaca38m8ysy2xiiy4o2YZB/&#10;iKImlYRHO6hb4gjamuoNVF1Ro6zi7pyqOlGcV5SFHCCbLP0jm6eSaBZyAXKs7miy/w+W3u8eDaoK&#10;qN0II0lqqNGqkgwtiRBq61CGPt0AxVAkKCJaUMqkQzfEfEbgAOzttZ0ByJN+NI1mQfRUHLip/X9I&#10;Eh0C48eOcXZwiMLH7GIyuZhAYSjcgTwejT1ocvLWxrovTNXICzkmIYAYURNiFognu5V1oQJFkwYp&#10;fmQY8VpAQXdEoGw6GbcF79kM+jZn0+Fw2DRFz2bYtxmNsyxECdXu2QB9p7fOhpM0PgapNKGB1Cbj&#10;47RKVMVdJURQfL+zpTAIIs3xepM1NPxmJeRbR7NZd27j6eXlbagKvNXzBM27Jr5WsTpBckfBPKCQ&#10;3xiHHoB6DAKXYfpO0UTOI822JAWLQY5T+GvDbOMPtQuAHplDeh12A9BaRpAWOxa9sfeuLAxv55z+&#10;LbDo3HmEl5V0nXNdSWXeAxCu5ZlH+5akSI1nyR3WhzgfPlX/Za2KI8yMUXGZWE3vKujNFbHukRho&#10;Nmhn2IjuAQ4u1D7HqpEwKpV5fe+7t4ehhluM9rCNcmx/bolhGImvEsb9MhuN/PoKymg8GYBi+jfr&#10;/o3c1ksFbQTtD9EF0ds70YrcqPoFpnrhX4UrIim8nWPqTKssXdySsHopWyyCGawsTdxKPmnqwT3P&#10;vqOfDy/E6GZAHYz2vWo3V9P8sUAnW+8p1WLrFK+cvzzx2iiw7kIrNavZ79O+HqxOPyDzXwAAAP//&#10;AwBQSwMEFAAGAAgAAAAhAOUIin7fAAAACgEAAA8AAABkcnMvZG93bnJldi54bWxMj8FOwzAQRO9I&#10;/IO1SNyokxQ1EOJUVaVekIrUlgs3NzZxwLuOYrcNf89yosfVPs28qZcTenG2Y+wDKchnGQhLbTA9&#10;dQreD5uHJxAxaTLaB7IKfmyEZXN7U+vKhAvt7HmfOsEhFCutwKU0VFLG1lnUcRYGS/z7DCPqxOfY&#10;STPqC4ejl0WWLSTqnrjB6cGunW2/9ydUgPku+9gc1vjlB7d9w9cOcbtS6v5uWr2ASHZK/zD86bM6&#10;NOx0DCcyUXgFZV7kjCooHnkTA8/lYg7iyOQ8K0E2tbye0PwCAAD//wMAUEsBAi0AFAAGAAgAAAAh&#10;ALaDOJL+AAAA4QEAABMAAAAAAAAAAAAAAAAAAAAAAFtDb250ZW50X1R5cGVzXS54bWxQSwECLQAU&#10;AAYACAAAACEAOP0h/9YAAACUAQAACwAAAAAAAAAAAAAAAAAvAQAAX3JlbHMvLnJlbHNQSwECLQAU&#10;AAYACAAAACEAvvtyYwADAACIBgAADgAAAAAAAAAAAAAAAAAuAgAAZHJzL2Uyb0RvYy54bWxQSwEC&#10;LQAUAAYACAAAACEA5QiKft8AAAAKAQAADwAAAAAAAAAAAAAAAABaBQAAZHJzL2Rvd25yZXYueG1s&#10;UEsFBgAAAAAEAAQA8wAAAGYGAAAAAA==&#10;" adj="-8003,9745" fillcolor="white [3212]" strokecolor="#5899d4" strokeweight="1pt">
            <v:textbox>
              <w:txbxContent>
                <w:p w:rsidR="00D72DB6" w:rsidRDefault="00D72DB6" w:rsidP="00D72DB6">
                  <w:pPr>
                    <w:jc w:val="center"/>
                    <w:rPr>
                      <w:rFonts w:ascii="Times New Roman" w:hAnsi="Times New Roman"/>
                      <w:color w:val="000000" w:themeColor="text1"/>
                      <w:sz w:val="24"/>
                      <w:szCs w:val="24"/>
                    </w:rPr>
                  </w:pPr>
                  <w:r>
                    <w:rPr>
                      <w:rFonts w:ascii="Times New Roman" w:hAnsi="Times New Roman"/>
                      <w:b/>
                      <w:color w:val="000000" w:themeColor="text1"/>
                      <w:sz w:val="24"/>
                      <w:szCs w:val="24"/>
                    </w:rPr>
                    <w:t>23</w:t>
                  </w:r>
                  <w:r>
                    <w:rPr>
                      <w:rFonts w:ascii="Times New Roman" w:hAnsi="Times New Roman"/>
                      <w:color w:val="000000" w:themeColor="text1"/>
                      <w:sz w:val="24"/>
                      <w:szCs w:val="24"/>
                    </w:rPr>
                    <w:t xml:space="preserve"> Inspektime mbi bazë Ankese</w:t>
                  </w:r>
                </w:p>
                <w:p w:rsidR="00D72DB6" w:rsidRDefault="00D72DB6" w:rsidP="00D72DB6"/>
              </w:txbxContent>
            </v:textbox>
            <o:callout v:ext="edit" minusy="t"/>
          </v:shape>
        </w:pict>
      </w:r>
      <w:r w:rsidR="00D72DB6" w:rsidRPr="00D72DB6">
        <w:rPr>
          <w:rFonts w:ascii="Times New Roman" w:hAnsi="Times New Roman"/>
          <w:noProof/>
          <w:sz w:val="24"/>
          <w:szCs w:val="24"/>
          <w:lang w:eastAsia="sq-AL"/>
        </w:rPr>
        <w:drawing>
          <wp:anchor distT="0" distB="0" distL="114300" distR="114300" simplePos="0" relativeHeight="251661312" behindDoc="0" locked="0" layoutInCell="1" allowOverlap="1">
            <wp:simplePos x="0" y="0"/>
            <wp:positionH relativeFrom="column">
              <wp:posOffset>1530350</wp:posOffset>
            </wp:positionH>
            <wp:positionV relativeFrom="paragraph">
              <wp:posOffset>-74295</wp:posOffset>
            </wp:positionV>
            <wp:extent cx="3205480" cy="3738245"/>
            <wp:effectExtent l="0" t="0" r="0" b="0"/>
            <wp:wrapNone/>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anchor>
        </w:drawing>
      </w:r>
      <w:r w:rsidR="00D72DB6" w:rsidRPr="00D72DB6">
        <w:rPr>
          <w:rFonts w:ascii="Times New Roman" w:eastAsia="Times New Roman" w:hAnsi="Times New Roman"/>
          <w:noProof/>
          <w:sz w:val="24"/>
          <w:szCs w:val="24"/>
          <w:lang w:eastAsia="sq-AL"/>
        </w:rPr>
        <w:drawing>
          <wp:inline distT="0" distB="0" distL="0" distR="0">
            <wp:extent cx="2581275" cy="3390900"/>
            <wp:effectExtent l="0" t="0" r="9525"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D72DB6" w:rsidRPr="00D72DB6" w:rsidRDefault="00D72DB6" w:rsidP="00D72DB6">
      <w:pPr>
        <w:spacing w:line="360" w:lineRule="auto"/>
        <w:jc w:val="both"/>
        <w:rPr>
          <w:rFonts w:ascii="Times New Roman" w:hAnsi="Times New Roman"/>
          <w:sz w:val="24"/>
          <w:szCs w:val="24"/>
        </w:rPr>
      </w:pPr>
    </w:p>
    <w:p w:rsidR="00D72DB6" w:rsidRPr="00D72DB6" w:rsidRDefault="00D72DB6" w:rsidP="00D72DB6">
      <w:pPr>
        <w:pStyle w:val="Heading2"/>
        <w:rPr>
          <w:rFonts w:ascii="Times New Roman" w:hAnsi="Times New Roman" w:cs="Times New Roman"/>
          <w:sz w:val="24"/>
          <w:szCs w:val="24"/>
        </w:rPr>
      </w:pPr>
      <w:r w:rsidRPr="00D72DB6">
        <w:rPr>
          <w:rFonts w:ascii="Times New Roman" w:hAnsi="Times New Roman" w:cs="Times New Roman"/>
          <w:sz w:val="24"/>
          <w:szCs w:val="24"/>
        </w:rPr>
        <w:lastRenderedPageBreak/>
        <w:t xml:space="preserve"> </w:t>
      </w:r>
      <w:bookmarkStart w:id="18" w:name="_Toc507424891"/>
      <w:r w:rsidRPr="00D72DB6">
        <w:rPr>
          <w:rFonts w:ascii="Times New Roman" w:hAnsi="Times New Roman" w:cs="Times New Roman"/>
          <w:sz w:val="24"/>
          <w:szCs w:val="24"/>
        </w:rPr>
        <w:t>3.4 Rekomandime dhe Urdhra</w:t>
      </w:r>
      <w:bookmarkEnd w:id="18"/>
    </w:p>
    <w:p w:rsidR="00D72DB6" w:rsidRPr="00D72DB6" w:rsidRDefault="00D72DB6" w:rsidP="00D72DB6">
      <w:pPr>
        <w:pStyle w:val="ListParagraph"/>
        <w:tabs>
          <w:tab w:val="left" w:pos="360"/>
        </w:tabs>
        <w:spacing w:after="0" w:line="360" w:lineRule="auto"/>
        <w:ind w:left="360"/>
        <w:jc w:val="both"/>
        <w:rPr>
          <w:rFonts w:ascii="Times New Roman" w:hAnsi="Times New Roman"/>
          <w:b/>
          <w:bCs/>
          <w:sz w:val="24"/>
          <w:szCs w:val="24"/>
        </w:rPr>
      </w:pPr>
    </w:p>
    <w:p w:rsidR="00D72DB6" w:rsidRPr="00D72DB6" w:rsidRDefault="00D72DB6" w:rsidP="00D72DB6">
      <w:pPr>
        <w:spacing w:line="360" w:lineRule="auto"/>
        <w:jc w:val="both"/>
        <w:rPr>
          <w:rFonts w:ascii="Times New Roman" w:hAnsi="Times New Roman"/>
          <w:sz w:val="24"/>
          <w:szCs w:val="24"/>
        </w:rPr>
      </w:pPr>
      <w:r w:rsidRPr="00D72DB6">
        <w:rPr>
          <w:rFonts w:ascii="Times New Roman" w:hAnsi="Times New Roman"/>
          <w:sz w:val="24"/>
          <w:szCs w:val="24"/>
        </w:rPr>
        <w:t xml:space="preserve">Komisioneri në zbatim të kompetencave që i jep ligji nr. 9887/2008 “Për mbrojtjen e të dhënave personale”, i ndryshuar, është shprehur me </w:t>
      </w:r>
      <w:r w:rsidRPr="00D72DB6">
        <w:rPr>
          <w:rFonts w:ascii="Times New Roman" w:hAnsi="Times New Roman"/>
          <w:b/>
          <w:sz w:val="24"/>
          <w:szCs w:val="24"/>
        </w:rPr>
        <w:t xml:space="preserve">64 </w:t>
      </w:r>
      <w:r w:rsidRPr="00D72DB6">
        <w:rPr>
          <w:rFonts w:ascii="Times New Roman" w:hAnsi="Times New Roman"/>
          <w:sz w:val="24"/>
          <w:szCs w:val="24"/>
        </w:rPr>
        <w:t>Rekomandime.</w:t>
      </w:r>
    </w:p>
    <w:p w:rsidR="00D72DB6" w:rsidRPr="00D72DB6" w:rsidRDefault="00D72DB6" w:rsidP="00D72DB6">
      <w:pPr>
        <w:spacing w:line="360" w:lineRule="auto"/>
        <w:jc w:val="both"/>
        <w:rPr>
          <w:rFonts w:ascii="Times New Roman" w:hAnsi="Times New Roman"/>
          <w:sz w:val="24"/>
          <w:szCs w:val="24"/>
        </w:rPr>
      </w:pPr>
      <w:r w:rsidRPr="00D72DB6">
        <w:rPr>
          <w:rFonts w:ascii="Times New Roman" w:hAnsi="Times New Roman"/>
          <w:sz w:val="24"/>
          <w:szCs w:val="24"/>
        </w:rPr>
        <w:t xml:space="preserve">Zyra e Komisionerit është shprehur me </w:t>
      </w:r>
      <w:r w:rsidRPr="00D72DB6">
        <w:rPr>
          <w:rFonts w:ascii="Times New Roman" w:hAnsi="Times New Roman"/>
          <w:b/>
          <w:sz w:val="24"/>
          <w:szCs w:val="24"/>
        </w:rPr>
        <w:t>11</w:t>
      </w:r>
      <w:r w:rsidRPr="00D72DB6">
        <w:rPr>
          <w:rFonts w:ascii="Times New Roman" w:hAnsi="Times New Roman"/>
          <w:sz w:val="24"/>
          <w:szCs w:val="24"/>
        </w:rPr>
        <w:t xml:space="preserve"> Urdhra për “Ndalimin e përpunimit dhe grumbullimit të mëtejshëm të të dhënave dhe shkatërrimin e menjëhershëm të tyre të grumbulluar në mënyrë të paligjshme”, dhënë kontrolluesve publik dhe privat. </w:t>
      </w:r>
    </w:p>
    <w:p w:rsidR="00D72DB6" w:rsidRPr="00D72DB6" w:rsidRDefault="00D72DB6" w:rsidP="00D72DB6">
      <w:pPr>
        <w:spacing w:line="360" w:lineRule="auto"/>
        <w:jc w:val="both"/>
        <w:rPr>
          <w:rFonts w:ascii="Times New Roman" w:hAnsi="Times New Roman"/>
          <w:color w:val="1F3864"/>
          <w:sz w:val="24"/>
          <w:szCs w:val="24"/>
        </w:rPr>
      </w:pPr>
      <w:r w:rsidRPr="00D72DB6">
        <w:rPr>
          <w:rFonts w:ascii="Times New Roman" w:hAnsi="Times New Roman"/>
          <w:sz w:val="24"/>
          <w:szCs w:val="24"/>
        </w:rPr>
        <w:t>Nëpërmjet rekomandimeve dhe urdhrave është synuar të ndërgjegjësohet çdo kontrollues i të dhënave për të kryer përpunime në mënyrë të drejtë dhe të ligjshme, pa cënuar privatësinë e individit.</w:t>
      </w:r>
    </w:p>
    <w:p w:rsidR="00D72DB6" w:rsidRPr="00D72DB6" w:rsidRDefault="00D72DB6" w:rsidP="00D72DB6">
      <w:pPr>
        <w:spacing w:line="360" w:lineRule="auto"/>
        <w:jc w:val="both"/>
        <w:rPr>
          <w:rFonts w:ascii="Times New Roman" w:hAnsi="Times New Roman"/>
          <w:sz w:val="24"/>
          <w:szCs w:val="24"/>
        </w:rPr>
      </w:pPr>
      <w:r w:rsidRPr="00D72DB6">
        <w:rPr>
          <w:rFonts w:ascii="Times New Roman" w:hAnsi="Times New Roman"/>
          <w:sz w:val="24"/>
          <w:szCs w:val="24"/>
        </w:rPr>
        <w:t xml:space="preserve">Nisur nga eksperienca pozitive e një viti më parë ku Rekomandimet Unifikuese të Komisionerit rezultuan të suksesshme në implementim, edhe këtë vit Komisioneri ka vijuar me dhënien e Rekomandimeve të kësaj natyre në këta sektorë: </w:t>
      </w:r>
    </w:p>
    <w:p w:rsidR="00D72DB6" w:rsidRPr="00D72DB6" w:rsidRDefault="00D72DB6" w:rsidP="00D72DB6">
      <w:pPr>
        <w:pStyle w:val="ListParagraph"/>
        <w:numPr>
          <w:ilvl w:val="0"/>
          <w:numId w:val="6"/>
        </w:numPr>
        <w:ind w:left="360"/>
        <w:rPr>
          <w:rFonts w:ascii="Times New Roman" w:hAnsi="Times New Roman"/>
          <w:b/>
          <w:sz w:val="24"/>
          <w:szCs w:val="24"/>
        </w:rPr>
      </w:pPr>
      <w:bookmarkStart w:id="19" w:name="_Toc474707668"/>
      <w:r w:rsidRPr="00D72DB6">
        <w:rPr>
          <w:rFonts w:ascii="Times New Roman" w:hAnsi="Times New Roman"/>
          <w:b/>
          <w:sz w:val="24"/>
          <w:szCs w:val="24"/>
        </w:rPr>
        <w:t xml:space="preserve">Rekomandim </w:t>
      </w:r>
      <w:bookmarkEnd w:id="19"/>
      <w:r w:rsidRPr="00D72DB6">
        <w:rPr>
          <w:rFonts w:ascii="Times New Roman" w:hAnsi="Times New Roman"/>
          <w:b/>
          <w:sz w:val="24"/>
          <w:szCs w:val="24"/>
        </w:rPr>
        <w:t>në Sektorin e Turizmit</w:t>
      </w:r>
    </w:p>
    <w:p w:rsidR="00D72DB6" w:rsidRPr="00D72DB6" w:rsidRDefault="00D72DB6" w:rsidP="00D72DB6">
      <w:pPr>
        <w:spacing w:line="360" w:lineRule="auto"/>
        <w:jc w:val="both"/>
        <w:rPr>
          <w:rFonts w:ascii="Times New Roman" w:hAnsi="Times New Roman"/>
          <w:sz w:val="24"/>
          <w:szCs w:val="24"/>
        </w:rPr>
      </w:pPr>
      <w:r w:rsidRPr="00D72DB6">
        <w:rPr>
          <w:rFonts w:ascii="Times New Roman" w:hAnsi="Times New Roman"/>
          <w:sz w:val="24"/>
          <w:szCs w:val="24"/>
        </w:rPr>
        <w:t xml:space="preserve">Zyra e Komisionerit vlerëson rëndësinë e këtij sektori, në kuadër të impaktit që ka në jetën e çdo qytetari dhe rëndësinë e mbrojtjes së të dhënave të tyre personale dhe privatësisë së tyre, për shkak të rritjes së fluksit të lëvizjeve në nivel kombëtar dhe ndërkombëtar të qytetarëve shqiptar dhe të huaj (në cilësinë e subjekteve të të dhënave) dhe përpunimit elektronik dhe manual të një sasie të madhe të dhënash personale nga agjencitë turistike. </w:t>
      </w:r>
    </w:p>
    <w:p w:rsidR="00D72DB6" w:rsidRPr="00D72DB6" w:rsidRDefault="00D72DB6" w:rsidP="00D72DB6">
      <w:pPr>
        <w:spacing w:line="360" w:lineRule="auto"/>
        <w:jc w:val="both"/>
        <w:rPr>
          <w:rFonts w:ascii="Times New Roman" w:hAnsi="Times New Roman"/>
          <w:sz w:val="24"/>
          <w:szCs w:val="24"/>
        </w:rPr>
      </w:pPr>
      <w:r w:rsidRPr="00D72DB6">
        <w:rPr>
          <w:rFonts w:ascii="Times New Roman" w:hAnsi="Times New Roman"/>
          <w:sz w:val="24"/>
          <w:szCs w:val="24"/>
        </w:rPr>
        <w:t xml:space="preserve">Zyra e Komisionerit ka evidentuar disa nga problematikat e hasura më shpesh në këtë fushë. Kryesisht, rekomandimi ka konsistuar në: </w:t>
      </w:r>
    </w:p>
    <w:p w:rsidR="00D72DB6" w:rsidRPr="00D72DB6" w:rsidRDefault="00D72DB6" w:rsidP="00D72DB6">
      <w:pPr>
        <w:pStyle w:val="ListParagraph"/>
        <w:numPr>
          <w:ilvl w:val="0"/>
          <w:numId w:val="7"/>
        </w:numPr>
        <w:spacing w:after="0" w:line="360" w:lineRule="auto"/>
        <w:ind w:left="360"/>
        <w:jc w:val="both"/>
        <w:rPr>
          <w:rFonts w:ascii="Times New Roman" w:eastAsia="Batang" w:hAnsi="Times New Roman"/>
          <w:sz w:val="24"/>
          <w:szCs w:val="24"/>
          <w:lang w:eastAsia="ko-KR"/>
        </w:rPr>
      </w:pPr>
      <w:r w:rsidRPr="00D72DB6">
        <w:rPr>
          <w:rFonts w:ascii="Times New Roman" w:eastAsia="Batang" w:hAnsi="Times New Roman"/>
          <w:sz w:val="24"/>
          <w:szCs w:val="24"/>
          <w:lang w:eastAsia="ko-KR"/>
        </w:rPr>
        <w:t>Marrjen e masave për të publikuar “Politikat e privatësisë” si elementi bazë në ushtrimin e të drejtës për informim të çdo subjekti dhe detyrimin e përditësimit të formularit të  njoftimit;</w:t>
      </w:r>
    </w:p>
    <w:p w:rsidR="00D72DB6" w:rsidRPr="00D72DB6" w:rsidRDefault="00D72DB6" w:rsidP="00D72DB6">
      <w:pPr>
        <w:pStyle w:val="ListParagraph"/>
        <w:numPr>
          <w:ilvl w:val="0"/>
          <w:numId w:val="7"/>
        </w:numPr>
        <w:spacing w:after="0" w:line="360" w:lineRule="auto"/>
        <w:ind w:left="360"/>
        <w:jc w:val="both"/>
        <w:rPr>
          <w:rFonts w:ascii="Times New Roman" w:eastAsia="Batang" w:hAnsi="Times New Roman"/>
          <w:sz w:val="24"/>
          <w:szCs w:val="24"/>
          <w:lang w:eastAsia="ko-KR"/>
        </w:rPr>
      </w:pPr>
      <w:r w:rsidRPr="00D72DB6">
        <w:rPr>
          <w:rFonts w:ascii="Times New Roman" w:eastAsia="Batang" w:hAnsi="Times New Roman"/>
          <w:sz w:val="24"/>
          <w:szCs w:val="24"/>
          <w:lang w:eastAsia="ko-KR"/>
        </w:rPr>
        <w:t>Marrjen e masave lidhur me përcaktimin e një afati kohor të arsyeshëm për mbajtjen e të dhënave personale të klientëve që përpunohen manualisht dhe elektronikisht;</w:t>
      </w:r>
    </w:p>
    <w:p w:rsidR="00D72DB6" w:rsidRPr="00D72DB6" w:rsidRDefault="00D72DB6" w:rsidP="00D72DB6">
      <w:pPr>
        <w:pStyle w:val="ListParagraph"/>
        <w:numPr>
          <w:ilvl w:val="0"/>
          <w:numId w:val="7"/>
        </w:numPr>
        <w:spacing w:after="0" w:line="360" w:lineRule="auto"/>
        <w:ind w:left="360"/>
        <w:jc w:val="both"/>
        <w:rPr>
          <w:rFonts w:ascii="Times New Roman" w:eastAsia="Batang" w:hAnsi="Times New Roman"/>
          <w:sz w:val="24"/>
          <w:szCs w:val="24"/>
          <w:lang w:eastAsia="ko-KR"/>
        </w:rPr>
      </w:pPr>
      <w:r w:rsidRPr="00D72DB6">
        <w:rPr>
          <w:rFonts w:ascii="Times New Roman" w:eastAsia="Batang" w:hAnsi="Times New Roman"/>
          <w:sz w:val="24"/>
          <w:szCs w:val="24"/>
          <w:lang w:eastAsia="ko-KR"/>
        </w:rPr>
        <w:t>Në rastet e përdorimit të sistemeve CCTV, marrja e masave për vendosjen e tabelave informuese sipas standardit të miratuar nga Komisioneri nëpërmjet Udhëzimin nr. 3, datë 05/03/2010 mbi “Përpunimin e të dhënave personale me sistemin e video survejimit në ndërtesa dhe mjedise të tjera”, i ndryshuar;</w:t>
      </w:r>
    </w:p>
    <w:p w:rsidR="00D72DB6" w:rsidRPr="00D72DB6" w:rsidRDefault="00D72DB6" w:rsidP="00D72DB6">
      <w:pPr>
        <w:pStyle w:val="ListParagraph"/>
        <w:numPr>
          <w:ilvl w:val="0"/>
          <w:numId w:val="7"/>
        </w:numPr>
        <w:spacing w:after="0" w:line="360" w:lineRule="auto"/>
        <w:ind w:left="360"/>
        <w:jc w:val="both"/>
        <w:rPr>
          <w:rFonts w:ascii="Times New Roman" w:eastAsia="Batang" w:hAnsi="Times New Roman"/>
          <w:sz w:val="24"/>
          <w:szCs w:val="24"/>
          <w:lang w:eastAsia="ko-KR"/>
        </w:rPr>
      </w:pPr>
      <w:r w:rsidRPr="00D72DB6">
        <w:rPr>
          <w:rFonts w:ascii="Times New Roman" w:eastAsia="Batang" w:hAnsi="Times New Roman"/>
          <w:sz w:val="24"/>
          <w:szCs w:val="24"/>
          <w:lang w:eastAsia="ko-KR"/>
        </w:rPr>
        <w:t xml:space="preserve">Të tregohet kujdes lidhur me marrëdhëniet që Agjencitë Turistike krijojnë me të tretë (në cilësinë e përpunuesit) dhe që kanë si objektiv përpunimin e të dhënave personale (qoftë </w:t>
      </w:r>
      <w:r w:rsidRPr="00D72DB6">
        <w:rPr>
          <w:rFonts w:ascii="Times New Roman" w:eastAsia="Batang" w:hAnsi="Times New Roman"/>
          <w:sz w:val="24"/>
          <w:szCs w:val="24"/>
          <w:lang w:eastAsia="ko-KR"/>
        </w:rPr>
        <w:lastRenderedPageBreak/>
        <w:t xml:space="preserve">edhe akses në të dhëna). Këto marrëdhënie të sanksionohen me marrëveshje të shkruar midis palëve, në të cilën të </w:t>
      </w:r>
      <w:r w:rsidRPr="00D72DB6">
        <w:rPr>
          <w:rFonts w:ascii="Times New Roman" w:hAnsi="Times New Roman"/>
          <w:color w:val="000000"/>
          <w:sz w:val="24"/>
          <w:szCs w:val="24"/>
          <w:lang w:eastAsia="ko-KR"/>
        </w:rPr>
        <w:t xml:space="preserve">parashikohen detyrimet në kuadër të garantimit të </w:t>
      </w:r>
      <w:r w:rsidRPr="00D72DB6">
        <w:rPr>
          <w:rFonts w:ascii="Times New Roman" w:eastAsia="Batang" w:hAnsi="Times New Roman"/>
          <w:sz w:val="24"/>
          <w:szCs w:val="24"/>
          <w:lang w:eastAsia="ko-KR"/>
        </w:rPr>
        <w:t xml:space="preserve">sigurisë dhe konfidencialitetit të të dhënave. </w:t>
      </w:r>
    </w:p>
    <w:p w:rsidR="00D72DB6" w:rsidRPr="00D72DB6" w:rsidRDefault="00D72DB6" w:rsidP="00D72DB6">
      <w:pPr>
        <w:pStyle w:val="ListParagraph"/>
        <w:rPr>
          <w:rFonts w:ascii="Times New Roman" w:eastAsia="Batang" w:hAnsi="Times New Roman"/>
          <w:b/>
          <w:sz w:val="24"/>
          <w:szCs w:val="24"/>
          <w:lang w:eastAsia="ko-KR"/>
        </w:rPr>
      </w:pPr>
    </w:p>
    <w:p w:rsidR="00D72DB6" w:rsidRPr="00D72DB6" w:rsidRDefault="00D72DB6" w:rsidP="00D72DB6">
      <w:pPr>
        <w:pStyle w:val="ListParagraph"/>
        <w:numPr>
          <w:ilvl w:val="0"/>
          <w:numId w:val="8"/>
        </w:numPr>
        <w:ind w:left="360"/>
        <w:rPr>
          <w:rFonts w:ascii="Times New Roman" w:eastAsia="Batang" w:hAnsi="Times New Roman"/>
          <w:b/>
          <w:sz w:val="24"/>
          <w:szCs w:val="24"/>
          <w:lang w:eastAsia="ko-KR"/>
        </w:rPr>
      </w:pPr>
      <w:r w:rsidRPr="00D72DB6">
        <w:rPr>
          <w:rFonts w:ascii="Times New Roman" w:eastAsia="Batang" w:hAnsi="Times New Roman"/>
          <w:b/>
          <w:sz w:val="24"/>
          <w:szCs w:val="24"/>
          <w:lang w:eastAsia="ko-KR"/>
        </w:rPr>
        <w:t>Rekomandim në Institucionet e Ekzekutimit të Vendimeve Penale.</w:t>
      </w:r>
    </w:p>
    <w:p w:rsidR="00D72DB6" w:rsidRPr="00D72DB6" w:rsidRDefault="00D72DB6" w:rsidP="00D72DB6">
      <w:pPr>
        <w:spacing w:line="360" w:lineRule="auto"/>
        <w:jc w:val="both"/>
        <w:rPr>
          <w:rFonts w:ascii="Times New Roman" w:hAnsi="Times New Roman"/>
          <w:sz w:val="24"/>
          <w:szCs w:val="24"/>
        </w:rPr>
      </w:pPr>
      <w:r w:rsidRPr="00D72DB6">
        <w:rPr>
          <w:rFonts w:ascii="Times New Roman" w:hAnsi="Times New Roman"/>
          <w:sz w:val="24"/>
          <w:szCs w:val="24"/>
        </w:rPr>
        <w:t>Pas hetimeve administrative të zhvilluara pranë Institucioneve të Ekzekutimit të Vendimeve Penale, Zyra e Komisionerit ka dalë me Rekomandim për këto institucione në varësi të shkeljeve të konstatuara si dhe me një rekomandim për Drejtorinë e Përgjithshme të Burgjeve si organ epror në lidhje me shkeljet e konstatuara në I.E.V.P.</w:t>
      </w:r>
    </w:p>
    <w:p w:rsidR="00D72DB6" w:rsidRPr="00D72DB6" w:rsidRDefault="00D72DB6" w:rsidP="00D72DB6">
      <w:pPr>
        <w:spacing w:line="360" w:lineRule="auto"/>
        <w:jc w:val="both"/>
        <w:rPr>
          <w:rFonts w:ascii="Times New Roman" w:hAnsi="Times New Roman"/>
          <w:sz w:val="24"/>
          <w:szCs w:val="24"/>
          <w:lang w:eastAsia="sq-AL"/>
        </w:rPr>
      </w:pPr>
      <w:r w:rsidRPr="00D72DB6">
        <w:rPr>
          <w:rFonts w:ascii="Times New Roman" w:hAnsi="Times New Roman"/>
          <w:sz w:val="24"/>
          <w:szCs w:val="24"/>
        </w:rPr>
        <w:t>Problematikat kryesore të konstatuara në këto institucione janë kryesisht shkelje të cilat lidhen  me sasinë e të dhënave të mbledhura sa i përket subjekteve punëmarrës, masa të papërshtatshme për të garantuar sigurinë, integritetin dhe disponueshmërinë e të dhënave elektronike, pajisjeve kompjuterike, sistemeve operative, sistemeve video-vëzhguese (CCTV), mungesa e rregullores për trajtimin e të dhënave personale dhe deklaratës së konfidencialitetit.</w:t>
      </w:r>
    </w:p>
    <w:p w:rsidR="00D72DB6" w:rsidRPr="00D72DB6" w:rsidRDefault="00D72DB6" w:rsidP="00D72DB6">
      <w:pPr>
        <w:pStyle w:val="Heading2"/>
        <w:rPr>
          <w:rFonts w:ascii="Times New Roman" w:hAnsi="Times New Roman" w:cs="Times New Roman"/>
          <w:sz w:val="24"/>
          <w:szCs w:val="24"/>
        </w:rPr>
      </w:pPr>
      <w:bookmarkStart w:id="20" w:name="_Toc507424892"/>
      <w:r w:rsidRPr="00D72DB6">
        <w:rPr>
          <w:rFonts w:ascii="Times New Roman" w:hAnsi="Times New Roman" w:cs="Times New Roman"/>
          <w:sz w:val="24"/>
          <w:szCs w:val="24"/>
        </w:rPr>
        <w:t>3.5 Sanksione administrative</w:t>
      </w:r>
      <w:bookmarkEnd w:id="20"/>
      <w:r w:rsidRPr="00D72DB6">
        <w:rPr>
          <w:rFonts w:ascii="Times New Roman" w:hAnsi="Times New Roman" w:cs="Times New Roman"/>
          <w:sz w:val="24"/>
          <w:szCs w:val="24"/>
        </w:rPr>
        <w:t xml:space="preserve"> </w:t>
      </w:r>
    </w:p>
    <w:p w:rsidR="00D72DB6" w:rsidRPr="00D72DB6" w:rsidRDefault="00D72DB6" w:rsidP="00D72DB6">
      <w:pPr>
        <w:rPr>
          <w:rFonts w:ascii="Times New Roman" w:hAnsi="Times New Roman"/>
          <w:sz w:val="24"/>
          <w:szCs w:val="24"/>
        </w:rPr>
      </w:pPr>
    </w:p>
    <w:p w:rsidR="00D72DB6" w:rsidRPr="00D72DB6" w:rsidRDefault="00D72DB6" w:rsidP="00D72DB6">
      <w:pPr>
        <w:spacing w:line="360" w:lineRule="auto"/>
        <w:jc w:val="both"/>
        <w:rPr>
          <w:rFonts w:ascii="Times New Roman" w:hAnsi="Times New Roman"/>
          <w:sz w:val="24"/>
          <w:szCs w:val="24"/>
        </w:rPr>
      </w:pPr>
      <w:r w:rsidRPr="00D72DB6">
        <w:rPr>
          <w:rFonts w:ascii="Times New Roman" w:eastAsia="Times New Roman" w:hAnsi="Times New Roman"/>
          <w:sz w:val="24"/>
          <w:szCs w:val="24"/>
        </w:rPr>
        <w:t>Zyra e Komisionerit pas ushtrimit të hetimeve administrative pranë kontrolluesve të ndryshëm publik dhe privat, ka vendosur sanksione me gjobë në rastet kur shkeljet kanë qenë serioze, të përsëritura, apo në rast mos përmbushjeje të rekomandimeve/urdhrave të Komisionerit.</w:t>
      </w:r>
    </w:p>
    <w:p w:rsidR="00D72DB6" w:rsidRPr="00D72DB6" w:rsidRDefault="00D72DB6" w:rsidP="00D72DB6">
      <w:pPr>
        <w:spacing w:after="360" w:line="360" w:lineRule="auto"/>
        <w:jc w:val="both"/>
        <w:rPr>
          <w:rFonts w:ascii="Times New Roman" w:eastAsia="Times New Roman" w:hAnsi="Times New Roman"/>
          <w:sz w:val="24"/>
          <w:szCs w:val="24"/>
        </w:rPr>
      </w:pPr>
      <w:r w:rsidRPr="00D72DB6">
        <w:rPr>
          <w:rFonts w:ascii="Times New Roman" w:eastAsia="Times New Roman" w:hAnsi="Times New Roman"/>
          <w:sz w:val="24"/>
          <w:szCs w:val="24"/>
        </w:rPr>
        <w:t xml:space="preserve">Në mbyllje të procedurave hetimore, Zyra e Komisionerit ka dalë me </w:t>
      </w:r>
      <w:r w:rsidRPr="00D72DB6">
        <w:rPr>
          <w:rFonts w:ascii="Times New Roman" w:eastAsia="Times New Roman" w:hAnsi="Times New Roman"/>
          <w:b/>
          <w:sz w:val="24"/>
          <w:szCs w:val="24"/>
        </w:rPr>
        <w:t>22</w:t>
      </w:r>
      <w:r w:rsidRPr="00D72DB6">
        <w:rPr>
          <w:rFonts w:ascii="Times New Roman" w:eastAsia="Times New Roman" w:hAnsi="Times New Roman"/>
          <w:sz w:val="24"/>
          <w:szCs w:val="24"/>
        </w:rPr>
        <w:t xml:space="preserve"> vendime</w:t>
      </w:r>
      <w:r w:rsidRPr="00D72DB6">
        <w:rPr>
          <w:rFonts w:ascii="Times New Roman" w:eastAsia="Times New Roman" w:hAnsi="Times New Roman"/>
          <w:color w:val="FF0000"/>
          <w:sz w:val="24"/>
          <w:szCs w:val="24"/>
        </w:rPr>
        <w:t xml:space="preserve"> </w:t>
      </w:r>
      <w:r w:rsidRPr="00D72DB6">
        <w:rPr>
          <w:rFonts w:ascii="Times New Roman" w:eastAsia="Times New Roman" w:hAnsi="Times New Roman"/>
          <w:sz w:val="24"/>
          <w:szCs w:val="24"/>
        </w:rPr>
        <w:t xml:space="preserve">të cilat korrespondojnë me </w:t>
      </w:r>
      <w:r w:rsidRPr="00D72DB6">
        <w:rPr>
          <w:rFonts w:ascii="Times New Roman" w:eastAsia="Times New Roman" w:hAnsi="Times New Roman"/>
          <w:b/>
          <w:sz w:val="24"/>
          <w:szCs w:val="24"/>
        </w:rPr>
        <w:t xml:space="preserve">36 </w:t>
      </w:r>
      <w:r w:rsidRPr="00D72DB6">
        <w:rPr>
          <w:rFonts w:ascii="Times New Roman" w:eastAsia="Times New Roman" w:hAnsi="Times New Roman"/>
          <w:sz w:val="24"/>
          <w:szCs w:val="24"/>
        </w:rPr>
        <w:t xml:space="preserve">sanksione administrative. </w:t>
      </w:r>
    </w:p>
    <w:p w:rsidR="00D72DB6" w:rsidRPr="00D72DB6" w:rsidRDefault="00D72DB6" w:rsidP="00D72DB6">
      <w:pPr>
        <w:spacing w:line="360" w:lineRule="auto"/>
        <w:jc w:val="both"/>
        <w:rPr>
          <w:rFonts w:ascii="Times New Roman" w:hAnsi="Times New Roman"/>
          <w:sz w:val="24"/>
          <w:szCs w:val="24"/>
        </w:rPr>
      </w:pPr>
      <w:r w:rsidRPr="00D72DB6">
        <w:rPr>
          <w:rFonts w:ascii="Times New Roman" w:hAnsi="Times New Roman"/>
          <w:noProof/>
          <w:color w:val="FF0000"/>
          <w:sz w:val="24"/>
          <w:szCs w:val="24"/>
          <w:lang w:eastAsia="sq-AL"/>
        </w:rPr>
        <w:drawing>
          <wp:inline distT="0" distB="0" distL="0" distR="0">
            <wp:extent cx="5553075" cy="2276475"/>
            <wp:effectExtent l="0" t="0" r="9525" b="952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D72DB6" w:rsidRPr="00D72DB6" w:rsidRDefault="00D72DB6" w:rsidP="00D72DB6">
      <w:pPr>
        <w:rPr>
          <w:rFonts w:ascii="Times New Roman" w:hAnsi="Times New Roman"/>
          <w:sz w:val="24"/>
          <w:szCs w:val="24"/>
        </w:rPr>
      </w:pPr>
    </w:p>
    <w:p w:rsidR="00D72DB6" w:rsidRPr="00D72DB6" w:rsidRDefault="00D72DB6" w:rsidP="00D72DB6">
      <w:pPr>
        <w:spacing w:line="360" w:lineRule="auto"/>
        <w:jc w:val="both"/>
        <w:rPr>
          <w:rFonts w:ascii="Times New Roman" w:hAnsi="Times New Roman"/>
          <w:sz w:val="24"/>
          <w:szCs w:val="24"/>
          <w:lang w:eastAsia="sq-AL"/>
        </w:rPr>
      </w:pPr>
    </w:p>
    <w:p w:rsidR="00D72DB6" w:rsidRPr="00D72DB6" w:rsidRDefault="00D72DB6" w:rsidP="00D72DB6">
      <w:pPr>
        <w:pStyle w:val="Heading2"/>
        <w:rPr>
          <w:rFonts w:ascii="Times New Roman" w:hAnsi="Times New Roman" w:cs="Times New Roman"/>
          <w:sz w:val="24"/>
          <w:szCs w:val="24"/>
        </w:rPr>
      </w:pPr>
      <w:bookmarkStart w:id="21" w:name="_Toc507424893"/>
      <w:r w:rsidRPr="00D72DB6">
        <w:rPr>
          <w:rFonts w:ascii="Times New Roman" w:hAnsi="Times New Roman" w:cs="Times New Roman"/>
          <w:sz w:val="24"/>
          <w:szCs w:val="24"/>
        </w:rPr>
        <w:t>3.6 Njoftimi</w:t>
      </w:r>
      <w:bookmarkEnd w:id="21"/>
    </w:p>
    <w:p w:rsidR="00D72DB6" w:rsidRPr="00D72DB6" w:rsidRDefault="00D72DB6" w:rsidP="00D72DB6">
      <w:pPr>
        <w:pStyle w:val="ListParagraph"/>
        <w:spacing w:line="360" w:lineRule="auto"/>
        <w:ind w:left="0"/>
        <w:jc w:val="both"/>
        <w:rPr>
          <w:rFonts w:ascii="Times New Roman" w:hAnsi="Times New Roman"/>
          <w:sz w:val="24"/>
          <w:szCs w:val="24"/>
        </w:rPr>
      </w:pPr>
    </w:p>
    <w:p w:rsidR="00D72DB6" w:rsidRPr="00D72DB6" w:rsidRDefault="00D72DB6" w:rsidP="00D72DB6">
      <w:pPr>
        <w:pStyle w:val="ListParagraph"/>
        <w:spacing w:line="360" w:lineRule="auto"/>
        <w:ind w:left="0"/>
        <w:jc w:val="both"/>
        <w:rPr>
          <w:rFonts w:ascii="Times New Roman" w:hAnsi="Times New Roman"/>
          <w:sz w:val="24"/>
          <w:szCs w:val="24"/>
        </w:rPr>
      </w:pPr>
      <w:r w:rsidRPr="00D72DB6">
        <w:rPr>
          <w:rFonts w:ascii="Times New Roman" w:hAnsi="Times New Roman"/>
          <w:sz w:val="24"/>
          <w:szCs w:val="24"/>
        </w:rPr>
        <w:t>Gjatë vitit 2017, n</w:t>
      </w:r>
      <w:r w:rsidRPr="00D72DB6">
        <w:rPr>
          <w:rFonts w:ascii="Times New Roman" w:hAnsi="Times New Roman"/>
          <w:sz w:val="24"/>
          <w:szCs w:val="24"/>
          <w:lang w:eastAsia="fr-FR"/>
        </w:rPr>
        <w:t>ë përmbushje të detyrimit ligjor</w:t>
      </w:r>
      <w:r w:rsidRPr="00D72DB6">
        <w:rPr>
          <w:rFonts w:ascii="Times New Roman" w:hAnsi="Times New Roman"/>
          <w:sz w:val="24"/>
          <w:szCs w:val="24"/>
        </w:rPr>
        <w:t xml:space="preserve"> kanë njoftuar për përpunimin e të dhënave personale </w:t>
      </w:r>
      <w:r w:rsidRPr="00D72DB6">
        <w:rPr>
          <w:rFonts w:ascii="Times New Roman" w:hAnsi="Times New Roman"/>
          <w:b/>
          <w:sz w:val="24"/>
          <w:szCs w:val="24"/>
        </w:rPr>
        <w:t xml:space="preserve">168 </w:t>
      </w:r>
      <w:r w:rsidRPr="00D72DB6">
        <w:rPr>
          <w:rFonts w:ascii="Times New Roman" w:hAnsi="Times New Roman"/>
          <w:sz w:val="24"/>
          <w:szCs w:val="24"/>
        </w:rPr>
        <w:t>subjekte kontrolluese.</w:t>
      </w:r>
      <w:r w:rsidRPr="00D72DB6">
        <w:rPr>
          <w:rFonts w:ascii="Times New Roman" w:hAnsi="Times New Roman"/>
          <w:sz w:val="24"/>
          <w:szCs w:val="24"/>
          <w:lang w:eastAsia="fr-FR"/>
        </w:rPr>
        <w:t xml:space="preserve"> </w:t>
      </w:r>
      <w:r w:rsidRPr="00D72DB6">
        <w:rPr>
          <w:rFonts w:ascii="Times New Roman" w:hAnsi="Times New Roman"/>
          <w:sz w:val="24"/>
          <w:szCs w:val="24"/>
        </w:rPr>
        <w:t xml:space="preserve">Numri i subjekteve kontrolluese të regjistruara </w:t>
      </w:r>
      <w:r w:rsidRPr="00D72DB6">
        <w:rPr>
          <w:rFonts w:ascii="Times New Roman" w:hAnsi="Times New Roman"/>
          <w:sz w:val="24"/>
          <w:szCs w:val="24"/>
          <w:lang w:eastAsia="fr-FR"/>
        </w:rPr>
        <w:t xml:space="preserve">në Regjistrin Qendror të Subjekteve Kontrolluese në total është </w:t>
      </w:r>
      <w:r w:rsidRPr="00D72DB6">
        <w:rPr>
          <w:rFonts w:ascii="Times New Roman" w:hAnsi="Times New Roman"/>
          <w:b/>
          <w:sz w:val="24"/>
          <w:szCs w:val="24"/>
          <w:lang w:eastAsia="fr-FR"/>
        </w:rPr>
        <w:t xml:space="preserve">5364.  </w:t>
      </w:r>
      <w:r w:rsidRPr="00D72DB6">
        <w:rPr>
          <w:rFonts w:ascii="Times New Roman" w:hAnsi="Times New Roman"/>
          <w:sz w:val="24"/>
          <w:szCs w:val="24"/>
        </w:rPr>
        <w:t xml:space="preserve"> </w:t>
      </w:r>
    </w:p>
    <w:p w:rsidR="00D72DB6" w:rsidRPr="00D72DB6" w:rsidRDefault="00D72DB6" w:rsidP="00D72DB6">
      <w:pPr>
        <w:pStyle w:val="ListParagraph"/>
        <w:spacing w:line="360" w:lineRule="auto"/>
        <w:ind w:left="0"/>
        <w:jc w:val="both"/>
        <w:rPr>
          <w:rFonts w:ascii="Times New Roman" w:hAnsi="Times New Roman"/>
          <w:sz w:val="24"/>
          <w:szCs w:val="24"/>
        </w:rPr>
      </w:pPr>
    </w:p>
    <w:p w:rsidR="00D72DB6" w:rsidRPr="00D72DB6" w:rsidRDefault="00D72DB6" w:rsidP="00D72DB6">
      <w:pPr>
        <w:pStyle w:val="ListParagraph"/>
        <w:spacing w:line="360" w:lineRule="auto"/>
        <w:ind w:left="0"/>
        <w:jc w:val="both"/>
        <w:rPr>
          <w:rFonts w:ascii="Times New Roman" w:hAnsi="Times New Roman"/>
          <w:bCs/>
          <w:sz w:val="24"/>
          <w:szCs w:val="24"/>
        </w:rPr>
      </w:pPr>
      <w:r w:rsidRPr="00D72DB6">
        <w:rPr>
          <w:rFonts w:ascii="Times New Roman" w:hAnsi="Times New Roman"/>
          <w:noProof/>
          <w:sz w:val="24"/>
          <w:szCs w:val="24"/>
          <w:lang w:eastAsia="sq-AL"/>
        </w:rPr>
        <w:drawing>
          <wp:inline distT="0" distB="0" distL="0" distR="0">
            <wp:extent cx="5305425" cy="1085850"/>
            <wp:effectExtent l="19050" t="0" r="28575" b="0"/>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rsidR="00D72DB6" w:rsidRPr="00D72DB6" w:rsidRDefault="00D72DB6" w:rsidP="00D72DB6">
      <w:pPr>
        <w:pStyle w:val="Heading2"/>
        <w:rPr>
          <w:rFonts w:ascii="Times New Roman" w:hAnsi="Times New Roman" w:cs="Times New Roman"/>
          <w:sz w:val="24"/>
          <w:szCs w:val="24"/>
        </w:rPr>
      </w:pPr>
      <w:r w:rsidRPr="00D72DB6">
        <w:rPr>
          <w:rFonts w:ascii="Times New Roman" w:hAnsi="Times New Roman" w:cs="Times New Roman"/>
          <w:sz w:val="24"/>
          <w:szCs w:val="24"/>
        </w:rPr>
        <w:t xml:space="preserve"> </w:t>
      </w:r>
      <w:bookmarkStart w:id="22" w:name="_Toc507424894"/>
      <w:r w:rsidRPr="00D72DB6">
        <w:rPr>
          <w:rFonts w:ascii="Times New Roman" w:hAnsi="Times New Roman" w:cs="Times New Roman"/>
          <w:sz w:val="24"/>
          <w:szCs w:val="24"/>
        </w:rPr>
        <w:t>3.7 Transferimi ndërkombëtar</w:t>
      </w:r>
      <w:bookmarkEnd w:id="22"/>
    </w:p>
    <w:p w:rsidR="00D72DB6" w:rsidRPr="00D72DB6" w:rsidRDefault="00D72DB6" w:rsidP="00D72DB6">
      <w:pPr>
        <w:pStyle w:val="ListParagraph"/>
        <w:tabs>
          <w:tab w:val="left" w:pos="360"/>
        </w:tabs>
        <w:spacing w:after="0" w:line="360" w:lineRule="auto"/>
        <w:ind w:left="375"/>
        <w:jc w:val="both"/>
        <w:rPr>
          <w:rFonts w:ascii="Times New Roman" w:hAnsi="Times New Roman"/>
          <w:b/>
          <w:sz w:val="24"/>
          <w:szCs w:val="24"/>
        </w:rPr>
      </w:pPr>
    </w:p>
    <w:p w:rsidR="00D72DB6" w:rsidRPr="00D72DB6" w:rsidRDefault="00D72DB6" w:rsidP="00D72DB6">
      <w:pPr>
        <w:spacing w:line="360" w:lineRule="auto"/>
        <w:jc w:val="both"/>
        <w:rPr>
          <w:rFonts w:ascii="Times New Roman" w:hAnsi="Times New Roman"/>
          <w:sz w:val="24"/>
          <w:szCs w:val="24"/>
        </w:rPr>
      </w:pPr>
      <w:r w:rsidRPr="00D72DB6">
        <w:rPr>
          <w:rFonts w:ascii="Times New Roman" w:hAnsi="Times New Roman"/>
          <w:sz w:val="24"/>
          <w:szCs w:val="24"/>
        </w:rPr>
        <w:t>Është ndjekur me përparësi monitorimi i procesit të transferimit ndërkombëtar të të dhënave personale, kryesisht në sektorë strategjikë si banka dhe në fushën farmaceutike, në funksion të mbrojtjes më të mirë të të dhënave personale të qytetarëve.</w:t>
      </w:r>
    </w:p>
    <w:p w:rsidR="00D72DB6" w:rsidRPr="00D72DB6" w:rsidRDefault="00D72DB6" w:rsidP="00D72DB6">
      <w:pPr>
        <w:spacing w:line="360" w:lineRule="auto"/>
        <w:jc w:val="both"/>
        <w:rPr>
          <w:rFonts w:ascii="Times New Roman" w:hAnsi="Times New Roman"/>
          <w:sz w:val="24"/>
          <w:szCs w:val="24"/>
        </w:rPr>
      </w:pPr>
      <w:r w:rsidRPr="00D72DB6">
        <w:rPr>
          <w:rFonts w:ascii="Times New Roman" w:hAnsi="Times New Roman"/>
          <w:sz w:val="24"/>
          <w:szCs w:val="24"/>
        </w:rPr>
        <w:t xml:space="preserve">Gjithashtu, me indicie nga plotësimi i Formularit të Njoftimit, në rastet ku është konstatuar se realizohet transferim në vende me nivel jo të mjaftueshëm, është kërkuar informacion shtesë nga kontrolluesit dhe më tej janë shqyrtuar praktikat përkatëse të transferimeve. </w:t>
      </w:r>
    </w:p>
    <w:p w:rsidR="00D72DB6" w:rsidRPr="00D72DB6" w:rsidRDefault="00D72DB6" w:rsidP="00D72DB6">
      <w:pPr>
        <w:spacing w:line="360" w:lineRule="auto"/>
        <w:jc w:val="both"/>
        <w:rPr>
          <w:rFonts w:ascii="Times New Roman" w:hAnsi="Times New Roman"/>
          <w:b/>
          <w:sz w:val="24"/>
          <w:szCs w:val="24"/>
        </w:rPr>
      </w:pPr>
      <w:r w:rsidRPr="00D72DB6">
        <w:rPr>
          <w:rFonts w:ascii="Times New Roman" w:hAnsi="Times New Roman"/>
          <w:sz w:val="24"/>
          <w:szCs w:val="24"/>
        </w:rPr>
        <w:t xml:space="preserve">Janë dhënë gjithsej </w:t>
      </w:r>
      <w:r w:rsidRPr="00D72DB6">
        <w:rPr>
          <w:rFonts w:ascii="Times New Roman" w:hAnsi="Times New Roman"/>
          <w:b/>
          <w:sz w:val="24"/>
          <w:szCs w:val="24"/>
        </w:rPr>
        <w:t>12 vendime mbi lejimin e transferimit ndërkombëtar.</w:t>
      </w:r>
    </w:p>
    <w:p w:rsidR="00D72DB6" w:rsidRPr="00D72DB6" w:rsidRDefault="003C6EA5" w:rsidP="00D72DB6">
      <w:pPr>
        <w:spacing w:line="360" w:lineRule="auto"/>
        <w:jc w:val="both"/>
        <w:rPr>
          <w:rFonts w:ascii="Times New Roman" w:hAnsi="Times New Roman"/>
          <w:b/>
          <w:sz w:val="24"/>
          <w:szCs w:val="24"/>
        </w:rPr>
      </w:pPr>
      <w:r w:rsidRPr="003C6EA5">
        <w:rPr>
          <w:rFonts w:ascii="Times New Roman" w:hAnsi="Times New Roman"/>
          <w:noProof/>
          <w:sz w:val="24"/>
          <w:szCs w:val="24"/>
          <w:lang w:eastAsia="sq-AL"/>
        </w:rPr>
        <w:lastRenderedPageBreak/>
        <w:pict>
          <v:rect id="Rectangle 21" o:spid="_x0000_s1028" style="position:absolute;left:0;text-align:left;margin-left:30.45pt;margin-top:215.3pt;width:385.4pt;height:22.8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YEObAIAACYFAAAOAAAAZHJzL2Uyb0RvYy54bWysVEtv2zAMvg/YfxB0X50EydYEdYogRYcB&#10;RVs0HXpWZCkxJosapcTOfv0o+dGuy2nYRRZFfnx+9NV1Uxl2VOhLsDkfX4w4U1ZCUdpdzr8/3366&#10;5MwHYQthwKqcn5Tn18uPH65qt1AT2IMpFDJyYv2idjnfh+AWWeblXlXCX4BTlpQasBKBRNxlBYqa&#10;vFcmm4xGn7MasHAIUnlPrzetki+Tf62VDA9aexWYyTnlFtKJ6dzGM1teicUOhduXsktD/EMWlSgt&#10;BR1c3Ygg2AHLv1xVpUTwoMOFhCoDrUupUg1UzXj0rprNXjiVaqHmeDe0yf8/t/L++IisLHI+GXNm&#10;RUUzeqKuCbszitEbNah2fkF2G/eIneTpGqttNFbxS3WwJjX1NDRVNYFJepxezqezS+q9JN1kPhrP&#10;Z9Fp9op26MNXBRWLl5wjhU+9FMc7H1rT3oRwMZs2frqFk1ExBWOflKZCKOIkoROF1NogOwoavpBS&#10;2ZDqodDJOsJ0acwAHJ8DmgHU2UaYStQagKNzwD8jDogUFWwYwFVpAc85KH706erWvq++rTmWH5pt&#10;006vH9QWihNNFKGlunfytqS23gkfHgUSt2kStK/hgQ5toM45dDfO9oC/zr1He6IcaTmraVdy7n8e&#10;BCrOzDdLZJyPp9O4XEmYzr5MSMC3mu1bjT1Ua6CJEN8ou3SN9sH0V41QvdBar2JUUgkrKXbOZcBe&#10;WId2h+nHINVqlcxooZwId3bjZHQe+xxp89y8CHQdtwKx8h76vRKLdxRrbSPSwuoQQJeJf7HTbV+7&#10;CdAyJgZ3P4647W/lZPX6e1v+BgAA//8DAFBLAwQUAAYACAAAACEAafmKst8AAAAKAQAADwAAAGRy&#10;cy9kb3ducmV2LnhtbEyPwU7DMAyG70i8Q2QkbizZgrKuazpNSEgcQIKBOHuNaQtNUjVZ27094cSO&#10;tj/9/v5iN9uOjTSE1jsNy4UARq7ypnW1ho/3x7sMWIjoDHbekYYzBdiV11cF5sZP7o3GQ6xZCnEh&#10;Rw1NjH3OeagashgWvieXbl9+sBjTONTcDDilcNvxlRCKW2xd+tBgTw8NVT+Hk9Xgv/mo6ufPvXzC&#10;TL7M4dWuzpPWtzfzfgss0hz/YfjTT+pQJqejPzkTWKdBiU0iNdxLoYAlIJPLNbBj2qyVBF4W/LJC&#10;+QsAAP//AwBQSwECLQAUAAYACAAAACEAtoM4kv4AAADhAQAAEwAAAAAAAAAAAAAAAAAAAAAAW0Nv&#10;bnRlbnRfVHlwZXNdLnhtbFBLAQItABQABgAIAAAAIQA4/SH/1gAAAJQBAAALAAAAAAAAAAAAAAAA&#10;AC8BAABfcmVscy8ucmVsc1BLAQItABQABgAIAAAAIQDTmYEObAIAACYFAAAOAAAAAAAAAAAAAAAA&#10;AC4CAABkcnMvZTJvRG9jLnhtbFBLAQItABQABgAIAAAAIQBp+Yqy3wAAAAoBAAAPAAAAAAAAAAAA&#10;AAAAAMYEAABkcnMvZG93bnJldi54bWxQSwUGAAAAAAQABADzAAAA0gUAAAAA&#10;" fillcolor="white [3201]" strokecolor="#5b9bd5 [3204]" strokeweight="1pt">
            <v:textbox>
              <w:txbxContent>
                <w:p w:rsidR="00D72DB6" w:rsidRDefault="00D72DB6" w:rsidP="00D72DB6">
                  <w:pPr>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rPr>
                    <w:t>2014                           2015                           2016                           2017</w:t>
                  </w:r>
                </w:p>
              </w:txbxContent>
            </v:textbox>
          </v:rect>
        </w:pict>
      </w:r>
      <w:r w:rsidR="00D72DB6" w:rsidRPr="00D72DB6">
        <w:rPr>
          <w:rFonts w:ascii="Times New Roman" w:hAnsi="Times New Roman"/>
          <w:b/>
          <w:noProof/>
          <w:sz w:val="24"/>
          <w:szCs w:val="24"/>
          <w:lang w:eastAsia="sq-AL"/>
        </w:rPr>
        <w:drawing>
          <wp:inline distT="0" distB="0" distL="0" distR="0">
            <wp:extent cx="5495925" cy="3209925"/>
            <wp:effectExtent l="0" t="0" r="9525" b="952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r w:rsidR="00D72DB6" w:rsidRPr="00D72DB6">
        <w:rPr>
          <w:rFonts w:ascii="Times New Roman" w:hAnsi="Times New Roman"/>
          <w:b/>
          <w:sz w:val="24"/>
          <w:szCs w:val="24"/>
        </w:rPr>
        <w:t xml:space="preserve">           </w:t>
      </w:r>
    </w:p>
    <w:p w:rsidR="00D72DB6" w:rsidRPr="00D72DB6" w:rsidRDefault="00D72DB6" w:rsidP="00D72DB6">
      <w:pPr>
        <w:pStyle w:val="Heading1"/>
        <w:ind w:left="270" w:hanging="270"/>
        <w:jc w:val="both"/>
        <w:rPr>
          <w:rFonts w:ascii="Times New Roman" w:hAnsi="Times New Roman" w:cs="Times New Roman"/>
          <w:b/>
          <w:color w:val="0070C0"/>
          <w:sz w:val="24"/>
          <w:szCs w:val="24"/>
        </w:rPr>
      </w:pPr>
      <w:bookmarkStart w:id="23" w:name="_Toc507424895"/>
      <w:r w:rsidRPr="00D72DB6">
        <w:rPr>
          <w:rFonts w:ascii="Times New Roman" w:hAnsi="Times New Roman" w:cs="Times New Roman"/>
          <w:b/>
          <w:color w:val="0070C0"/>
          <w:sz w:val="24"/>
          <w:szCs w:val="24"/>
        </w:rPr>
        <w:t xml:space="preserve">4. </w:t>
      </w:r>
      <w:r w:rsidRPr="00D72DB6">
        <w:rPr>
          <w:rStyle w:val="Heading1Char"/>
          <w:rFonts w:ascii="Times New Roman" w:hAnsi="Times New Roman" w:cs="Times New Roman"/>
          <w:b/>
          <w:sz w:val="24"/>
          <w:szCs w:val="24"/>
        </w:rPr>
        <w:t>VEPRIMTARIA LIGJORE, PROCEDURAT ADMINISTRATIVE DHE GJYQËSORE</w:t>
      </w:r>
      <w:bookmarkEnd w:id="23"/>
    </w:p>
    <w:p w:rsidR="00D72DB6" w:rsidRPr="00D72DB6" w:rsidRDefault="00D72DB6" w:rsidP="00D72DB6">
      <w:pPr>
        <w:pStyle w:val="ListParagraph"/>
        <w:tabs>
          <w:tab w:val="left" w:pos="360"/>
        </w:tabs>
        <w:spacing w:after="0" w:line="360" w:lineRule="auto"/>
        <w:ind w:left="0"/>
        <w:jc w:val="both"/>
        <w:rPr>
          <w:rFonts w:ascii="Times New Roman" w:hAnsi="Times New Roman"/>
          <w:b/>
          <w:color w:val="0070C0"/>
          <w:sz w:val="24"/>
          <w:szCs w:val="24"/>
        </w:rPr>
      </w:pPr>
    </w:p>
    <w:p w:rsidR="00D72DB6" w:rsidRPr="00D72DB6" w:rsidRDefault="00D72DB6" w:rsidP="00D72DB6">
      <w:pPr>
        <w:pStyle w:val="ListParagraph"/>
        <w:tabs>
          <w:tab w:val="left" w:pos="360"/>
        </w:tabs>
        <w:spacing w:after="0" w:line="360" w:lineRule="auto"/>
        <w:ind w:left="0"/>
        <w:jc w:val="both"/>
        <w:rPr>
          <w:rFonts w:ascii="Times New Roman" w:hAnsi="Times New Roman"/>
          <w:color w:val="000000"/>
          <w:sz w:val="24"/>
          <w:szCs w:val="24"/>
        </w:rPr>
      </w:pPr>
      <w:r w:rsidRPr="00D72DB6">
        <w:rPr>
          <w:rFonts w:ascii="Times New Roman" w:hAnsi="Times New Roman"/>
          <w:sz w:val="24"/>
          <w:szCs w:val="24"/>
        </w:rPr>
        <w:t xml:space="preserve">Në kuadër të detyrimeve që rrjedhin nga procesi i integrimit në Bashkimin Europian, </w:t>
      </w:r>
      <w:r w:rsidRPr="00D72DB6">
        <w:rPr>
          <w:rFonts w:ascii="Times New Roman" w:hAnsi="Times New Roman"/>
          <w:color w:val="000000"/>
          <w:sz w:val="24"/>
          <w:szCs w:val="24"/>
        </w:rPr>
        <w:t xml:space="preserve">një hap i rëndësishëm mbetet përqasja e plotë e legjislacionit në fuqi të mbrojtjes së të dhënave personale me atë të </w:t>
      </w:r>
      <w:r w:rsidRPr="00D72DB6">
        <w:rPr>
          <w:rFonts w:ascii="Times New Roman" w:hAnsi="Times New Roman"/>
          <w:b/>
          <w:i/>
          <w:color w:val="000000"/>
          <w:sz w:val="24"/>
          <w:szCs w:val="24"/>
        </w:rPr>
        <w:t>A</w:t>
      </w:r>
      <w:r w:rsidRPr="00D72DB6">
        <w:rPr>
          <w:rFonts w:ascii="Times New Roman" w:hAnsi="Times New Roman"/>
          <w:b/>
          <w:i/>
          <w:iCs/>
          <w:color w:val="000000"/>
          <w:sz w:val="24"/>
          <w:szCs w:val="24"/>
        </w:rPr>
        <w:t xml:space="preserve">cquis </w:t>
      </w:r>
      <w:r w:rsidRPr="00D72DB6">
        <w:rPr>
          <w:rFonts w:ascii="Times New Roman" w:hAnsi="Times New Roman"/>
          <w:b/>
          <w:i/>
          <w:sz w:val="24"/>
          <w:szCs w:val="24"/>
        </w:rPr>
        <w:t>Communautaire</w:t>
      </w:r>
      <w:r w:rsidRPr="00D72DB6">
        <w:rPr>
          <w:rFonts w:ascii="Times New Roman" w:hAnsi="Times New Roman"/>
          <w:color w:val="000000"/>
          <w:sz w:val="24"/>
          <w:szCs w:val="24"/>
        </w:rPr>
        <w:t xml:space="preserve">. </w:t>
      </w:r>
    </w:p>
    <w:p w:rsidR="00D72DB6" w:rsidRPr="00D72DB6" w:rsidRDefault="00D72DB6" w:rsidP="00D72DB6">
      <w:pPr>
        <w:pStyle w:val="ListParagraph"/>
        <w:tabs>
          <w:tab w:val="left" w:pos="360"/>
        </w:tabs>
        <w:spacing w:after="0" w:line="360" w:lineRule="auto"/>
        <w:ind w:left="0"/>
        <w:jc w:val="both"/>
        <w:rPr>
          <w:rFonts w:ascii="Times New Roman" w:hAnsi="Times New Roman"/>
          <w:color w:val="000000"/>
          <w:sz w:val="24"/>
          <w:szCs w:val="24"/>
        </w:rPr>
      </w:pPr>
    </w:p>
    <w:p w:rsidR="00D72DB6" w:rsidRPr="00D72DB6" w:rsidRDefault="00D72DB6" w:rsidP="00D72DB6">
      <w:pPr>
        <w:pStyle w:val="ListParagraph"/>
        <w:tabs>
          <w:tab w:val="left" w:pos="360"/>
        </w:tabs>
        <w:spacing w:after="0" w:line="360" w:lineRule="auto"/>
        <w:ind w:left="0"/>
        <w:jc w:val="both"/>
        <w:rPr>
          <w:rFonts w:ascii="Times New Roman" w:hAnsi="Times New Roman"/>
          <w:sz w:val="24"/>
          <w:szCs w:val="24"/>
        </w:rPr>
      </w:pPr>
      <w:r w:rsidRPr="00D72DB6">
        <w:rPr>
          <w:rFonts w:ascii="Times New Roman" w:hAnsi="Times New Roman"/>
          <w:sz w:val="24"/>
          <w:szCs w:val="24"/>
        </w:rPr>
        <w:t>Rregullorja (BE) 2016/679 e Parlamentit Evropian dhe e Këshillit e datës 27 prill 2016 “</w:t>
      </w:r>
      <w:r w:rsidRPr="00D72DB6">
        <w:rPr>
          <w:rFonts w:ascii="Times New Roman" w:hAnsi="Times New Roman"/>
          <w:i/>
          <w:sz w:val="24"/>
          <w:szCs w:val="24"/>
        </w:rPr>
        <w:t>Mbi mbrojtjen e personave fizikë në lidhje me përpunimin e të dhënave personale dhe për lëvizjen e lirë të këtyre të dhënave dhe shfuqizimin e Direktivës 95/46/EC</w:t>
      </w:r>
      <w:r w:rsidRPr="00D72DB6">
        <w:rPr>
          <w:rFonts w:ascii="Times New Roman" w:hAnsi="Times New Roman"/>
          <w:sz w:val="24"/>
          <w:szCs w:val="24"/>
        </w:rPr>
        <w:t>” (Rregullore e Përgjithshme për Mbrojtjen e të Dhënave ose GDPR) u miratua në datën 14 prill 2016 nga Parlamenti Evropian dhe do të hyjë në fuqi më 25 maj 2018</w:t>
      </w:r>
      <w:r w:rsidRPr="00D72DB6">
        <w:rPr>
          <w:rFonts w:ascii="Times New Roman" w:hAnsi="Times New Roman"/>
          <w:b/>
          <w:sz w:val="24"/>
          <w:szCs w:val="24"/>
        </w:rPr>
        <w:t>.</w:t>
      </w:r>
      <w:r w:rsidRPr="00D72DB6">
        <w:rPr>
          <w:rFonts w:ascii="Times New Roman" w:hAnsi="Times New Roman"/>
          <w:sz w:val="24"/>
          <w:szCs w:val="24"/>
        </w:rPr>
        <w:t xml:space="preserve">  </w:t>
      </w:r>
    </w:p>
    <w:p w:rsidR="00D72DB6" w:rsidRPr="00D72DB6" w:rsidRDefault="00D72DB6" w:rsidP="00D72DB6">
      <w:pPr>
        <w:spacing w:after="0" w:line="360" w:lineRule="auto"/>
        <w:jc w:val="both"/>
        <w:rPr>
          <w:rFonts w:ascii="Times New Roman" w:hAnsi="Times New Roman"/>
          <w:sz w:val="24"/>
          <w:szCs w:val="24"/>
        </w:rPr>
      </w:pPr>
    </w:p>
    <w:p w:rsidR="00D72DB6" w:rsidRPr="00D72DB6" w:rsidRDefault="00D72DB6" w:rsidP="00D72DB6">
      <w:pPr>
        <w:spacing w:after="0" w:line="360" w:lineRule="auto"/>
        <w:jc w:val="both"/>
        <w:rPr>
          <w:rFonts w:ascii="Times New Roman" w:hAnsi="Times New Roman"/>
          <w:sz w:val="24"/>
          <w:szCs w:val="24"/>
        </w:rPr>
      </w:pPr>
      <w:r w:rsidRPr="00D72DB6">
        <w:rPr>
          <w:rFonts w:ascii="Times New Roman" w:hAnsi="Times New Roman"/>
          <w:sz w:val="24"/>
          <w:szCs w:val="24"/>
        </w:rPr>
        <w:t xml:space="preserve">Përafrimi dhe harmonizimi i legjislacionit kombëtar me këtë akt ligjor evropian, </w:t>
      </w:r>
      <w:r w:rsidRPr="00D72DB6">
        <w:rPr>
          <w:rFonts w:ascii="Times New Roman" w:hAnsi="Times New Roman"/>
          <w:bCs/>
          <w:sz w:val="24"/>
          <w:szCs w:val="24"/>
        </w:rPr>
        <w:t>por edhe me</w:t>
      </w:r>
      <w:r w:rsidRPr="00D72DB6">
        <w:rPr>
          <w:rFonts w:ascii="Times New Roman" w:hAnsi="Times New Roman"/>
          <w:sz w:val="24"/>
          <w:szCs w:val="24"/>
        </w:rPr>
        <w:t xml:space="preserve"> Direktivën (BE) 2016/680 e Parlamentit Evropian dhe e Këshillit e datës 27 prillit 2016 “</w:t>
      </w:r>
      <w:r w:rsidRPr="00D72DB6">
        <w:rPr>
          <w:rFonts w:ascii="Times New Roman" w:hAnsi="Times New Roman"/>
          <w:i/>
          <w:sz w:val="24"/>
          <w:szCs w:val="24"/>
        </w:rPr>
        <w:t>Mbi mbrojtjen e personave fizikë në lidhje me përpunimin e të dhënave personale nga organet kompetente për qëllime të parandalimit, hetimit, zbulimit, ndjekjes së</w:t>
      </w:r>
      <w:r w:rsidRPr="00D72DB6">
        <w:rPr>
          <w:rFonts w:ascii="Times New Roman" w:hAnsi="Times New Roman"/>
          <w:i/>
          <w:color w:val="FF0000"/>
          <w:sz w:val="24"/>
          <w:szCs w:val="24"/>
        </w:rPr>
        <w:t xml:space="preserve"> </w:t>
      </w:r>
      <w:r w:rsidRPr="00D72DB6">
        <w:rPr>
          <w:rFonts w:ascii="Times New Roman" w:hAnsi="Times New Roman"/>
          <w:i/>
          <w:sz w:val="24"/>
          <w:szCs w:val="24"/>
        </w:rPr>
        <w:t>veprave penale ose ekzekutimit të dënimeve penale, si dhe me lëvizjen e lirë të këtyre të dhënave</w:t>
      </w:r>
      <w:r w:rsidRPr="00D72DB6">
        <w:rPr>
          <w:rFonts w:ascii="Times New Roman" w:hAnsi="Times New Roman"/>
          <w:sz w:val="24"/>
          <w:szCs w:val="24"/>
        </w:rPr>
        <w:t xml:space="preserve">”, është ndër parashikimet e vendosura nga ana e Zyrës së Komisionerit në tabelat e </w:t>
      </w:r>
      <w:r w:rsidRPr="00D72DB6">
        <w:rPr>
          <w:rFonts w:ascii="Times New Roman" w:eastAsia="Times New Roman" w:hAnsi="Times New Roman"/>
          <w:color w:val="000000"/>
          <w:sz w:val="24"/>
          <w:szCs w:val="24"/>
          <w:lang w:eastAsia="sq-AL"/>
        </w:rPr>
        <w:t xml:space="preserve">planifikimit të akteve që përafrojnë </w:t>
      </w:r>
      <w:r w:rsidRPr="00D72DB6">
        <w:rPr>
          <w:rFonts w:ascii="Times New Roman" w:eastAsia="Times New Roman" w:hAnsi="Times New Roman"/>
          <w:i/>
          <w:color w:val="000000"/>
          <w:sz w:val="24"/>
          <w:szCs w:val="24"/>
          <w:lang w:eastAsia="sq-AL"/>
        </w:rPr>
        <w:t>acquis</w:t>
      </w:r>
      <w:r w:rsidRPr="00D72DB6">
        <w:rPr>
          <w:rFonts w:ascii="Times New Roman" w:eastAsia="Times New Roman" w:hAnsi="Times New Roman"/>
          <w:color w:val="000000"/>
          <w:sz w:val="24"/>
          <w:szCs w:val="24"/>
          <w:lang w:eastAsia="sq-AL"/>
        </w:rPr>
        <w:t xml:space="preserve"> në përmbushje të Planit Kombëtar të Integrimit Evropian (PKIE). </w:t>
      </w:r>
      <w:r w:rsidRPr="00D72DB6">
        <w:rPr>
          <w:rFonts w:ascii="Times New Roman" w:hAnsi="Times New Roman"/>
          <w:sz w:val="24"/>
          <w:szCs w:val="24"/>
        </w:rPr>
        <w:t xml:space="preserve">Në këtë drejtim Zyra e Komisionerit ka përkthyer dhe studiuar Rregulloren e BE-së (GDPR-ja) si </w:t>
      </w:r>
      <w:r w:rsidRPr="00D72DB6">
        <w:rPr>
          <w:rFonts w:ascii="Times New Roman" w:hAnsi="Times New Roman"/>
          <w:sz w:val="24"/>
          <w:szCs w:val="24"/>
        </w:rPr>
        <w:lastRenderedPageBreak/>
        <w:t xml:space="preserve">dhe  ka filluar punën për përgatitjen e paketës së amendimeve ligjore në fushën e mbrojtjes së të dhënave personale.  </w:t>
      </w:r>
    </w:p>
    <w:p w:rsidR="00D72DB6" w:rsidRPr="00D72DB6" w:rsidRDefault="00D72DB6" w:rsidP="00D72DB6">
      <w:pPr>
        <w:pStyle w:val="Standard"/>
        <w:spacing w:after="80" w:line="360" w:lineRule="auto"/>
        <w:jc w:val="both"/>
        <w:rPr>
          <w:rFonts w:ascii="Times New Roman" w:hAnsi="Times New Roman" w:cs="Times New Roman"/>
          <w:sz w:val="24"/>
          <w:lang w:val="sq-AL"/>
        </w:rPr>
      </w:pPr>
      <w:r w:rsidRPr="00D72DB6">
        <w:rPr>
          <w:rFonts w:ascii="Times New Roman" w:hAnsi="Times New Roman" w:cs="Times New Roman"/>
          <w:sz w:val="24"/>
          <w:lang w:val="sq-AL"/>
        </w:rPr>
        <w:t xml:space="preserve">Gjithashtu si rezultat i mendimeve të marra nga palët e interesuara dhe shoqëria cilivile, por edhe trajtimit të ankesave janë përgatitur amendimet lidhur edhe me ligjin “Për të drejtën për informim”. Zbatimi i ligjit deri më tani ka treguar se pjesa më e madhe e dispozitave kanë qenë efektive dhe se rregullat po funksionojnë mirë, por ka dispozita të cilat duhen përmirësuar. </w:t>
      </w:r>
    </w:p>
    <w:p w:rsidR="00D72DB6" w:rsidRPr="00D72DB6" w:rsidRDefault="00D72DB6" w:rsidP="00D72DB6">
      <w:pPr>
        <w:rPr>
          <w:rFonts w:ascii="Times New Roman" w:hAnsi="Times New Roman"/>
          <w:sz w:val="24"/>
          <w:szCs w:val="24"/>
        </w:rPr>
      </w:pPr>
    </w:p>
    <w:p w:rsidR="00D72DB6" w:rsidRPr="00D72DB6" w:rsidRDefault="00D72DB6" w:rsidP="00D72DB6">
      <w:pPr>
        <w:pStyle w:val="Heading2"/>
        <w:rPr>
          <w:rFonts w:ascii="Times New Roman" w:hAnsi="Times New Roman" w:cs="Times New Roman"/>
          <w:sz w:val="24"/>
          <w:szCs w:val="24"/>
        </w:rPr>
      </w:pPr>
      <w:bookmarkStart w:id="24" w:name="_Toc507424896"/>
      <w:r w:rsidRPr="00D72DB6">
        <w:rPr>
          <w:rFonts w:ascii="Times New Roman" w:hAnsi="Times New Roman" w:cs="Times New Roman"/>
          <w:sz w:val="24"/>
          <w:szCs w:val="24"/>
        </w:rPr>
        <w:t>4.1 Hartimi i akteve rregullatore</w:t>
      </w:r>
      <w:bookmarkEnd w:id="24"/>
    </w:p>
    <w:p w:rsidR="00D72DB6" w:rsidRPr="00D72DB6" w:rsidRDefault="00D72DB6" w:rsidP="00D72DB6">
      <w:pPr>
        <w:tabs>
          <w:tab w:val="left" w:pos="90"/>
        </w:tabs>
        <w:spacing w:after="0" w:line="360" w:lineRule="auto"/>
        <w:jc w:val="both"/>
        <w:rPr>
          <w:rFonts w:ascii="Times New Roman" w:hAnsi="Times New Roman"/>
          <w:b/>
          <w:sz w:val="24"/>
          <w:szCs w:val="24"/>
        </w:rPr>
      </w:pPr>
    </w:p>
    <w:p w:rsidR="00D72DB6" w:rsidRPr="00D72DB6" w:rsidRDefault="00D72DB6" w:rsidP="00D72DB6">
      <w:pPr>
        <w:spacing w:after="80" w:line="360" w:lineRule="auto"/>
        <w:jc w:val="both"/>
        <w:rPr>
          <w:rFonts w:ascii="Times New Roman" w:hAnsi="Times New Roman"/>
          <w:sz w:val="24"/>
          <w:szCs w:val="24"/>
        </w:rPr>
      </w:pPr>
      <w:r w:rsidRPr="00D72DB6">
        <w:rPr>
          <w:rFonts w:ascii="Times New Roman" w:hAnsi="Times New Roman"/>
          <w:sz w:val="24"/>
          <w:szCs w:val="24"/>
        </w:rPr>
        <w:t xml:space="preserve">Për vitin 2017 në drejtim të zbatimit të detyrimeve që burojnë nga akte të tjera ligjore apo nënligjore është: </w:t>
      </w:r>
    </w:p>
    <w:p w:rsidR="00D72DB6" w:rsidRPr="00D72DB6" w:rsidRDefault="00D72DB6" w:rsidP="00D72DB6">
      <w:pPr>
        <w:pStyle w:val="ListParagraph"/>
        <w:numPr>
          <w:ilvl w:val="0"/>
          <w:numId w:val="9"/>
        </w:numPr>
        <w:autoSpaceDE w:val="0"/>
        <w:autoSpaceDN w:val="0"/>
        <w:adjustRightInd w:val="0"/>
        <w:spacing w:after="80" w:line="360" w:lineRule="auto"/>
        <w:jc w:val="both"/>
        <w:rPr>
          <w:rFonts w:ascii="Times New Roman" w:hAnsi="Times New Roman"/>
          <w:sz w:val="24"/>
          <w:szCs w:val="24"/>
        </w:rPr>
      </w:pPr>
      <w:r w:rsidRPr="00D72DB6">
        <w:rPr>
          <w:rFonts w:ascii="Times New Roman" w:hAnsi="Times New Roman"/>
          <w:sz w:val="24"/>
          <w:szCs w:val="24"/>
        </w:rPr>
        <w:t>Miratuar Udhëzimi nr. 46/2017 “</w:t>
      </w:r>
      <w:r w:rsidRPr="00D72DB6">
        <w:rPr>
          <w:rFonts w:ascii="Times New Roman" w:hAnsi="Times New Roman"/>
          <w:i/>
          <w:sz w:val="24"/>
          <w:szCs w:val="24"/>
        </w:rPr>
        <w:t xml:space="preserve">Për nivelin e sigurisë së subjekteve publike dhe private” </w:t>
      </w:r>
      <w:r w:rsidRPr="00D72DB6">
        <w:rPr>
          <w:rFonts w:ascii="Times New Roman" w:hAnsi="Times New Roman"/>
          <w:sz w:val="24"/>
          <w:szCs w:val="24"/>
        </w:rPr>
        <w:t>në zbatim të pikës 4 të nenit 12 të ligjit nr.19/2016 “Për Masat Shtesë të Sigurisë Publike”;</w:t>
      </w:r>
    </w:p>
    <w:p w:rsidR="00D72DB6" w:rsidRPr="00D72DB6" w:rsidRDefault="00D72DB6" w:rsidP="00D72DB6">
      <w:pPr>
        <w:pStyle w:val="ListParagraph"/>
        <w:numPr>
          <w:ilvl w:val="0"/>
          <w:numId w:val="9"/>
        </w:numPr>
        <w:spacing w:after="80" w:line="360" w:lineRule="auto"/>
        <w:jc w:val="both"/>
        <w:rPr>
          <w:rFonts w:ascii="Times New Roman" w:hAnsi="Times New Roman"/>
          <w:sz w:val="24"/>
          <w:szCs w:val="24"/>
        </w:rPr>
      </w:pPr>
      <w:r w:rsidRPr="00D72DB6">
        <w:rPr>
          <w:rFonts w:ascii="Times New Roman" w:hAnsi="Times New Roman"/>
          <w:sz w:val="24"/>
          <w:szCs w:val="24"/>
        </w:rPr>
        <w:t>Miratuar</w:t>
      </w:r>
      <w:r w:rsidRPr="00D72DB6">
        <w:rPr>
          <w:rFonts w:ascii="Times New Roman" w:hAnsi="Times New Roman"/>
          <w:b/>
          <w:i/>
          <w:sz w:val="24"/>
          <w:szCs w:val="24"/>
        </w:rPr>
        <w:t xml:space="preserve"> </w:t>
      </w:r>
      <w:r w:rsidRPr="00D72DB6">
        <w:rPr>
          <w:rFonts w:ascii="Times New Roman" w:hAnsi="Times New Roman"/>
          <w:sz w:val="24"/>
          <w:szCs w:val="24"/>
        </w:rPr>
        <w:t>Udhëzimi  i përbashkët,</w:t>
      </w:r>
      <w:r w:rsidRPr="00D72DB6">
        <w:rPr>
          <w:rFonts w:ascii="Times New Roman" w:hAnsi="Times New Roman"/>
          <w:b/>
          <w:i/>
          <w:sz w:val="24"/>
          <w:szCs w:val="24"/>
        </w:rPr>
        <w:t xml:space="preserve"> </w:t>
      </w:r>
      <w:r w:rsidRPr="00D72DB6">
        <w:rPr>
          <w:rFonts w:ascii="Times New Roman" w:hAnsi="Times New Roman"/>
          <w:sz w:val="24"/>
          <w:szCs w:val="24"/>
        </w:rPr>
        <w:t>nr. 1181, datë 30.10.2017 “</w:t>
      </w:r>
      <w:r w:rsidRPr="00D72DB6">
        <w:rPr>
          <w:rFonts w:ascii="Times New Roman" w:hAnsi="Times New Roman"/>
          <w:i/>
          <w:sz w:val="24"/>
          <w:szCs w:val="24"/>
        </w:rPr>
        <w:t>Për ngritjen dhe funksionimin e regjistrit elektronik të subjekteve që marrin masa shtesë të sigurisë publike</w:t>
      </w:r>
      <w:r w:rsidRPr="00D72DB6">
        <w:rPr>
          <w:rFonts w:ascii="Times New Roman" w:hAnsi="Times New Roman"/>
          <w:sz w:val="24"/>
          <w:szCs w:val="24"/>
        </w:rPr>
        <w:t>”, i ministrit të Brendshëm dhe i Komisionerit për të Drejtën e Informimit dhe Mbrojtjen e të Dhënave Personale;</w:t>
      </w:r>
    </w:p>
    <w:p w:rsidR="00D72DB6" w:rsidRPr="00D72DB6" w:rsidRDefault="00D72DB6" w:rsidP="00D72DB6">
      <w:pPr>
        <w:pStyle w:val="ListParagraph"/>
        <w:numPr>
          <w:ilvl w:val="0"/>
          <w:numId w:val="9"/>
        </w:numPr>
        <w:autoSpaceDE w:val="0"/>
        <w:autoSpaceDN w:val="0"/>
        <w:adjustRightInd w:val="0"/>
        <w:spacing w:after="80" w:line="360" w:lineRule="auto"/>
        <w:jc w:val="both"/>
        <w:rPr>
          <w:rFonts w:ascii="Times New Roman" w:hAnsi="Times New Roman"/>
          <w:sz w:val="24"/>
          <w:szCs w:val="24"/>
        </w:rPr>
      </w:pPr>
      <w:r w:rsidRPr="00D72DB6">
        <w:rPr>
          <w:rFonts w:ascii="Times New Roman" w:hAnsi="Times New Roman"/>
          <w:sz w:val="24"/>
          <w:szCs w:val="24"/>
        </w:rPr>
        <w:t>Hartuar Projekt</w:t>
      </w:r>
      <w:r w:rsidRPr="00D72DB6">
        <w:rPr>
          <w:rFonts w:ascii="Times New Roman" w:eastAsia="Times New Roman" w:hAnsi="Times New Roman"/>
          <w:bCs/>
          <w:color w:val="000000"/>
          <w:sz w:val="24"/>
          <w:szCs w:val="24"/>
          <w:lang w:eastAsia="it-IT"/>
        </w:rPr>
        <w:t>/ligji për</w:t>
      </w:r>
      <w:r w:rsidRPr="00D72DB6">
        <w:rPr>
          <w:rFonts w:ascii="Times New Roman" w:eastAsia="Times New Roman" w:hAnsi="Times New Roman"/>
          <w:b/>
          <w:bCs/>
          <w:color w:val="000000"/>
          <w:sz w:val="24"/>
          <w:szCs w:val="24"/>
          <w:lang w:eastAsia="it-IT"/>
        </w:rPr>
        <w:t xml:space="preserve"> </w:t>
      </w:r>
      <w:r w:rsidRPr="00D72DB6">
        <w:rPr>
          <w:rFonts w:ascii="Times New Roman" w:eastAsia="Times New Roman" w:hAnsi="Times New Roman"/>
          <w:bCs/>
          <w:color w:val="000000"/>
          <w:sz w:val="24"/>
          <w:szCs w:val="24"/>
          <w:lang w:eastAsia="it-IT"/>
        </w:rPr>
        <w:t>“</w:t>
      </w:r>
      <w:r w:rsidRPr="00D72DB6">
        <w:rPr>
          <w:rFonts w:ascii="Times New Roman" w:eastAsia="Times New Roman" w:hAnsi="Times New Roman"/>
          <w:bCs/>
          <w:i/>
          <w:color w:val="000000"/>
          <w:sz w:val="24"/>
          <w:szCs w:val="24"/>
          <w:lang w:eastAsia="it-IT"/>
        </w:rPr>
        <w:t>Krijimin e regjistrit të komunikimeve tregtare të pa kërkuara</w:t>
      </w:r>
      <w:r w:rsidRPr="00D72DB6">
        <w:rPr>
          <w:rFonts w:ascii="Times New Roman" w:eastAsia="Times New Roman" w:hAnsi="Times New Roman"/>
          <w:bCs/>
          <w:color w:val="000000"/>
          <w:sz w:val="24"/>
          <w:szCs w:val="24"/>
          <w:lang w:eastAsia="it-IT"/>
        </w:rPr>
        <w:t>” dhe relacioni shpjegues.</w:t>
      </w:r>
      <w:r w:rsidRPr="00D72DB6">
        <w:rPr>
          <w:rFonts w:ascii="Times New Roman" w:hAnsi="Times New Roman"/>
          <w:sz w:val="24"/>
          <w:szCs w:val="24"/>
          <w:lang w:eastAsia="en-GB"/>
        </w:rPr>
        <w:t xml:space="preserve"> Ky projektligj parashikohet të jetë pjesë e paketës së ndryshimeve që do të sjell harmonizimi me Rregulloren e BE-së (GDPR);</w:t>
      </w:r>
    </w:p>
    <w:p w:rsidR="00D72DB6" w:rsidRPr="00D72DB6" w:rsidRDefault="00D72DB6" w:rsidP="00D72DB6">
      <w:pPr>
        <w:pStyle w:val="ListParagraph"/>
        <w:numPr>
          <w:ilvl w:val="0"/>
          <w:numId w:val="9"/>
        </w:numPr>
        <w:autoSpaceDE w:val="0"/>
        <w:autoSpaceDN w:val="0"/>
        <w:adjustRightInd w:val="0"/>
        <w:spacing w:after="80" w:line="360" w:lineRule="auto"/>
        <w:jc w:val="both"/>
        <w:rPr>
          <w:rFonts w:ascii="Times New Roman" w:hAnsi="Times New Roman"/>
          <w:sz w:val="24"/>
          <w:szCs w:val="24"/>
        </w:rPr>
      </w:pPr>
      <w:r w:rsidRPr="00D72DB6">
        <w:rPr>
          <w:rFonts w:ascii="Times New Roman" w:hAnsi="Times New Roman"/>
          <w:sz w:val="24"/>
          <w:szCs w:val="24"/>
        </w:rPr>
        <w:t>Hartuar Projekt/vendimi “</w:t>
      </w:r>
      <w:r w:rsidRPr="00D72DB6">
        <w:rPr>
          <w:rFonts w:ascii="Times New Roman" w:hAnsi="Times New Roman"/>
          <w:i/>
          <w:sz w:val="24"/>
          <w:szCs w:val="24"/>
        </w:rPr>
        <w:t>Për</w:t>
      </w:r>
      <w:r w:rsidRPr="00D72DB6">
        <w:rPr>
          <w:rFonts w:ascii="Times New Roman" w:eastAsia="Times New Roman" w:hAnsi="Times New Roman"/>
          <w:bCs/>
          <w:i/>
          <w:sz w:val="24"/>
          <w:szCs w:val="24"/>
        </w:rPr>
        <w:t xml:space="preserve"> krijimin e bazës së të dhënave shtetërore të r</w:t>
      </w:r>
      <w:r w:rsidRPr="00D72DB6">
        <w:rPr>
          <w:rFonts w:ascii="Times New Roman" w:eastAsia="Times New Roman" w:hAnsi="Times New Roman"/>
          <w:i/>
          <w:sz w:val="24"/>
          <w:szCs w:val="24"/>
        </w:rPr>
        <w:t>egjistrit elektronik të kërkesave dhe përgjigjeve për të drejtën e informimit</w:t>
      </w:r>
      <w:r w:rsidRPr="00D72DB6">
        <w:rPr>
          <w:rFonts w:ascii="Times New Roman" w:eastAsia="Times New Roman" w:hAnsi="Times New Roman"/>
          <w:sz w:val="24"/>
          <w:szCs w:val="24"/>
        </w:rPr>
        <w:t>” dhe relacioni shpjegues, pritet miratimi nga Këshilli i Ministrave.;</w:t>
      </w:r>
    </w:p>
    <w:p w:rsidR="00D72DB6" w:rsidRPr="00D72DB6" w:rsidRDefault="00D72DB6" w:rsidP="00D72DB6">
      <w:pPr>
        <w:pStyle w:val="ListParagraph"/>
        <w:numPr>
          <w:ilvl w:val="0"/>
          <w:numId w:val="9"/>
        </w:numPr>
        <w:autoSpaceDE w:val="0"/>
        <w:autoSpaceDN w:val="0"/>
        <w:adjustRightInd w:val="0"/>
        <w:spacing w:after="80" w:line="360" w:lineRule="auto"/>
        <w:jc w:val="both"/>
        <w:rPr>
          <w:rFonts w:ascii="Times New Roman" w:hAnsi="Times New Roman"/>
          <w:sz w:val="24"/>
          <w:szCs w:val="24"/>
        </w:rPr>
      </w:pPr>
      <w:r w:rsidRPr="00D72DB6">
        <w:rPr>
          <w:rFonts w:ascii="Times New Roman" w:hAnsi="Times New Roman"/>
          <w:sz w:val="24"/>
          <w:szCs w:val="24"/>
        </w:rPr>
        <w:t>Hartuar Projekt/Vendimi</w:t>
      </w:r>
      <w:r w:rsidRPr="00D72DB6">
        <w:rPr>
          <w:rFonts w:ascii="Times New Roman" w:hAnsi="Times New Roman"/>
          <w:b/>
          <w:sz w:val="24"/>
          <w:szCs w:val="24"/>
        </w:rPr>
        <w:t xml:space="preserve"> </w:t>
      </w:r>
      <w:r w:rsidRPr="00D72DB6">
        <w:rPr>
          <w:rFonts w:ascii="Times New Roman" w:hAnsi="Times New Roman"/>
          <w:sz w:val="24"/>
          <w:szCs w:val="24"/>
        </w:rPr>
        <w:t>“</w:t>
      </w:r>
      <w:r w:rsidRPr="00D72DB6">
        <w:rPr>
          <w:rFonts w:ascii="Times New Roman" w:hAnsi="Times New Roman"/>
          <w:i/>
          <w:sz w:val="24"/>
          <w:szCs w:val="24"/>
        </w:rPr>
        <w:t>Për</w:t>
      </w:r>
      <w:r w:rsidRPr="00D72DB6">
        <w:rPr>
          <w:rFonts w:ascii="Times New Roman" w:eastAsia="Times New Roman" w:hAnsi="Times New Roman"/>
          <w:bCs/>
          <w:i/>
          <w:sz w:val="24"/>
          <w:szCs w:val="24"/>
        </w:rPr>
        <w:t xml:space="preserve"> krijimin e bazës së të dhënave shtetërore të </w:t>
      </w:r>
      <w:r w:rsidRPr="00D72DB6">
        <w:rPr>
          <w:rFonts w:ascii="Times New Roman" w:eastAsia="Times New Roman" w:hAnsi="Times New Roman"/>
          <w:i/>
          <w:sz w:val="24"/>
          <w:szCs w:val="24"/>
        </w:rPr>
        <w:t>regjistrit elektronik të subjekteve kontrollues”</w:t>
      </w:r>
      <w:r w:rsidRPr="00D72DB6">
        <w:rPr>
          <w:rFonts w:ascii="Times New Roman" w:eastAsia="Times New Roman" w:hAnsi="Times New Roman"/>
          <w:sz w:val="24"/>
          <w:szCs w:val="24"/>
        </w:rPr>
        <w:t xml:space="preserve"> dhe relacioni shpjegues, pritet miratimi nga Këshilli i Ministrave;</w:t>
      </w:r>
    </w:p>
    <w:p w:rsidR="00D72DB6" w:rsidRPr="00D72DB6" w:rsidRDefault="00D72DB6" w:rsidP="00D72DB6">
      <w:pPr>
        <w:pStyle w:val="ListParagraph"/>
        <w:numPr>
          <w:ilvl w:val="0"/>
          <w:numId w:val="9"/>
        </w:numPr>
        <w:autoSpaceDE w:val="0"/>
        <w:autoSpaceDN w:val="0"/>
        <w:adjustRightInd w:val="0"/>
        <w:spacing w:after="80" w:line="360" w:lineRule="auto"/>
        <w:ind w:left="357" w:hanging="357"/>
        <w:jc w:val="both"/>
        <w:rPr>
          <w:rFonts w:ascii="Times New Roman" w:hAnsi="Times New Roman"/>
          <w:sz w:val="24"/>
          <w:szCs w:val="24"/>
        </w:rPr>
      </w:pPr>
      <w:r w:rsidRPr="00D72DB6">
        <w:rPr>
          <w:rFonts w:ascii="Times New Roman" w:hAnsi="Times New Roman"/>
          <w:sz w:val="24"/>
          <w:szCs w:val="24"/>
        </w:rPr>
        <w:t>Hartuar Projekt/Strategjia “</w:t>
      </w:r>
      <w:r w:rsidRPr="00D72DB6">
        <w:rPr>
          <w:rFonts w:ascii="Times New Roman" w:hAnsi="Times New Roman"/>
          <w:i/>
          <w:sz w:val="24"/>
          <w:szCs w:val="24"/>
        </w:rPr>
        <w:t xml:space="preserve">Për të Drejtën e Informimit dhe Mbrojtjen e të Dhënave Personale 2018-2020” </w:t>
      </w:r>
      <w:r w:rsidRPr="00D72DB6">
        <w:rPr>
          <w:rFonts w:ascii="Times New Roman" w:hAnsi="Times New Roman"/>
          <w:sz w:val="24"/>
          <w:szCs w:val="24"/>
        </w:rPr>
        <w:t xml:space="preserve">në të cilën janë parashikuar vizioni dhe objektivat institucionale për këto vite. </w:t>
      </w:r>
    </w:p>
    <w:p w:rsidR="00D72DB6" w:rsidRPr="00D72DB6" w:rsidRDefault="00D72DB6" w:rsidP="00D72DB6">
      <w:pPr>
        <w:pStyle w:val="Heading2"/>
        <w:rPr>
          <w:rFonts w:ascii="Times New Roman" w:hAnsi="Times New Roman" w:cs="Times New Roman"/>
          <w:sz w:val="24"/>
          <w:szCs w:val="24"/>
        </w:rPr>
      </w:pPr>
      <w:bookmarkStart w:id="25" w:name="_Toc507424897"/>
      <w:r w:rsidRPr="00D72DB6">
        <w:rPr>
          <w:rFonts w:ascii="Times New Roman" w:hAnsi="Times New Roman" w:cs="Times New Roman"/>
          <w:bCs/>
          <w:sz w:val="24"/>
          <w:szCs w:val="24"/>
        </w:rPr>
        <w:t xml:space="preserve">4.2 </w:t>
      </w:r>
      <w:r w:rsidRPr="00D72DB6">
        <w:rPr>
          <w:rFonts w:ascii="Times New Roman" w:hAnsi="Times New Roman" w:cs="Times New Roman"/>
          <w:sz w:val="24"/>
          <w:szCs w:val="24"/>
        </w:rPr>
        <w:t>Dhënie mendimi për projekt/akte</w:t>
      </w:r>
      <w:bookmarkEnd w:id="25"/>
    </w:p>
    <w:p w:rsidR="00D72DB6" w:rsidRPr="00D72DB6" w:rsidRDefault="00D72DB6" w:rsidP="00D72DB6">
      <w:pPr>
        <w:tabs>
          <w:tab w:val="left" w:pos="360"/>
        </w:tabs>
        <w:spacing w:before="240" w:after="0" w:line="360" w:lineRule="auto"/>
        <w:jc w:val="both"/>
        <w:rPr>
          <w:rFonts w:ascii="Times New Roman" w:hAnsi="Times New Roman"/>
          <w:sz w:val="24"/>
          <w:szCs w:val="24"/>
        </w:rPr>
      </w:pPr>
      <w:r w:rsidRPr="00D72DB6">
        <w:rPr>
          <w:rFonts w:ascii="Times New Roman" w:hAnsi="Times New Roman"/>
          <w:sz w:val="24"/>
          <w:szCs w:val="24"/>
        </w:rPr>
        <w:t xml:space="preserve">Bazuar në germën a) të pikës 1 të nenit 31 të ligjit nr. 9887/2008 “Për mbrojtjen e të dhënave personale”, i ndryshuar, gjatë vitit 2017, Zyra e Komisionerit ka dhënë mendime ligjore për </w:t>
      </w:r>
      <w:r w:rsidRPr="00D72DB6">
        <w:rPr>
          <w:rFonts w:ascii="Times New Roman" w:hAnsi="Times New Roman"/>
          <w:b/>
          <w:sz w:val="24"/>
          <w:szCs w:val="24"/>
        </w:rPr>
        <w:t xml:space="preserve">2 </w:t>
      </w:r>
      <w:r w:rsidRPr="00D72DB6">
        <w:rPr>
          <w:rFonts w:ascii="Times New Roman" w:hAnsi="Times New Roman"/>
          <w:sz w:val="24"/>
          <w:szCs w:val="24"/>
        </w:rPr>
        <w:lastRenderedPageBreak/>
        <w:t xml:space="preserve">projekt/ligje, </w:t>
      </w:r>
      <w:r w:rsidRPr="00D72DB6">
        <w:rPr>
          <w:rFonts w:ascii="Times New Roman" w:hAnsi="Times New Roman"/>
          <w:b/>
          <w:sz w:val="24"/>
          <w:szCs w:val="24"/>
        </w:rPr>
        <w:t>12</w:t>
      </w:r>
      <w:r w:rsidRPr="00D72DB6">
        <w:rPr>
          <w:rFonts w:ascii="Times New Roman" w:hAnsi="Times New Roman"/>
          <w:sz w:val="24"/>
          <w:szCs w:val="24"/>
        </w:rPr>
        <w:t xml:space="preserve"> projekt/vendime, </w:t>
      </w:r>
      <w:r w:rsidRPr="00D72DB6">
        <w:rPr>
          <w:rFonts w:ascii="Times New Roman" w:hAnsi="Times New Roman"/>
          <w:b/>
          <w:sz w:val="24"/>
          <w:szCs w:val="24"/>
        </w:rPr>
        <w:t>4</w:t>
      </w:r>
      <w:r w:rsidRPr="00D72DB6">
        <w:rPr>
          <w:rFonts w:ascii="Times New Roman" w:hAnsi="Times New Roman"/>
          <w:sz w:val="24"/>
          <w:szCs w:val="24"/>
        </w:rPr>
        <w:t xml:space="preserve"> projekt/marrëveshje ndërshtetërore, </w:t>
      </w:r>
      <w:r w:rsidRPr="00D72DB6">
        <w:rPr>
          <w:rFonts w:ascii="Times New Roman" w:hAnsi="Times New Roman"/>
          <w:b/>
          <w:sz w:val="24"/>
          <w:szCs w:val="24"/>
        </w:rPr>
        <w:t xml:space="preserve">1 </w:t>
      </w:r>
      <w:r w:rsidRPr="00D72DB6">
        <w:rPr>
          <w:rFonts w:ascii="Times New Roman" w:hAnsi="Times New Roman"/>
          <w:sz w:val="24"/>
          <w:szCs w:val="24"/>
        </w:rPr>
        <w:t xml:space="preserve">Kod rregullator (për AMA) si dhe janë dhënë një sërë opinione ligjore si dhe kthim përgjigje të paraqitura nga kontrollues publik e privat. (Aneksi 2) </w:t>
      </w:r>
    </w:p>
    <w:p w:rsidR="00D72DB6" w:rsidRPr="00D72DB6" w:rsidRDefault="00D72DB6" w:rsidP="00D72DB6">
      <w:pPr>
        <w:tabs>
          <w:tab w:val="left" w:pos="360"/>
        </w:tabs>
        <w:spacing w:before="240" w:after="0" w:line="360" w:lineRule="auto"/>
        <w:jc w:val="both"/>
        <w:rPr>
          <w:rFonts w:ascii="Times New Roman" w:hAnsi="Times New Roman"/>
          <w:sz w:val="24"/>
          <w:szCs w:val="24"/>
        </w:rPr>
      </w:pPr>
      <w:r w:rsidRPr="00D72DB6">
        <w:rPr>
          <w:rFonts w:ascii="Times New Roman" w:hAnsi="Times New Roman"/>
          <w:sz w:val="24"/>
          <w:szCs w:val="24"/>
        </w:rPr>
        <w:t>Gjithashtu, është dhënë asistencë për kontrollues të tjerë publikë dhe privatë lidhur me hartimin e rregulloreve të posaçme për mbrojtjen e të dhënave personale në kuadër të garantimit të sigurisë dhe konfidencialitetit të të dhënave personale dhe deklaratave të pëlqimit të subjekteve të të dhënave; lidhur me përpunimin e të dhënave personale nëpërmjet sistemit CCTV (në referim edhe të ligjit nr. 19/2016 “Për masat shtesë të sigurisë publike” dhe akteve nënligjore të miratuara nga Komisioneri); rreth njoftimit dhe detyrimeve të tjera në kuadër të ligjit për mbrojtjen e të dhënave personale; përfshirjes së politikave të privatësisë në faqet e internetit; dhënie mendimi për transferimet ndërkombëtare; rreth publikimit në media të të dhënave personale; mbi fshirjet e të dhënave të publikuara në portale të ndryshme online, etj.</w:t>
      </w:r>
    </w:p>
    <w:p w:rsidR="00D72DB6" w:rsidRPr="00D72DB6" w:rsidRDefault="00D72DB6" w:rsidP="00D72DB6">
      <w:pPr>
        <w:pStyle w:val="ListParagraph"/>
        <w:spacing w:line="360" w:lineRule="auto"/>
        <w:ind w:left="0"/>
        <w:jc w:val="both"/>
        <w:rPr>
          <w:rFonts w:ascii="Times New Roman" w:hAnsi="Times New Roman"/>
          <w:b/>
          <w:sz w:val="24"/>
          <w:szCs w:val="24"/>
          <w:u w:val="single"/>
        </w:rPr>
      </w:pPr>
    </w:p>
    <w:p w:rsidR="00D72DB6" w:rsidRPr="00D72DB6" w:rsidRDefault="00D72DB6" w:rsidP="00D72DB6">
      <w:pPr>
        <w:pStyle w:val="ListParagraph"/>
        <w:spacing w:line="360" w:lineRule="auto"/>
        <w:ind w:left="0"/>
        <w:jc w:val="both"/>
        <w:rPr>
          <w:rFonts w:ascii="Times New Roman" w:hAnsi="Times New Roman"/>
          <w:b/>
          <w:sz w:val="24"/>
          <w:szCs w:val="24"/>
          <w:u w:val="single"/>
        </w:rPr>
      </w:pPr>
    </w:p>
    <w:p w:rsidR="00D72DB6" w:rsidRPr="00D72DB6" w:rsidRDefault="00D72DB6" w:rsidP="00D72DB6">
      <w:pPr>
        <w:pStyle w:val="ListParagraph"/>
        <w:spacing w:line="360" w:lineRule="auto"/>
        <w:ind w:left="0"/>
        <w:jc w:val="both"/>
        <w:rPr>
          <w:rFonts w:ascii="Times New Roman" w:hAnsi="Times New Roman"/>
          <w:b/>
          <w:sz w:val="24"/>
          <w:szCs w:val="24"/>
          <w:u w:val="single"/>
        </w:rPr>
      </w:pPr>
      <w:r w:rsidRPr="00D72DB6">
        <w:rPr>
          <w:rFonts w:ascii="Times New Roman" w:hAnsi="Times New Roman"/>
          <w:b/>
          <w:sz w:val="24"/>
          <w:szCs w:val="24"/>
          <w:u w:val="single"/>
        </w:rPr>
        <w:t>Veprimtaria ligjore në vitet 2014-2017</w:t>
      </w:r>
    </w:p>
    <w:p w:rsidR="00D72DB6" w:rsidRPr="00D72DB6" w:rsidRDefault="00D72DB6" w:rsidP="00D72DB6">
      <w:pPr>
        <w:pStyle w:val="ListParagraph"/>
        <w:spacing w:line="360" w:lineRule="auto"/>
        <w:ind w:left="0"/>
        <w:jc w:val="both"/>
        <w:rPr>
          <w:rFonts w:ascii="Times New Roman" w:hAnsi="Times New Roman"/>
          <w:b/>
          <w:sz w:val="24"/>
          <w:szCs w:val="24"/>
          <w:u w:val="single"/>
        </w:rPr>
      </w:pPr>
    </w:p>
    <w:p w:rsidR="00D72DB6" w:rsidRPr="00D72DB6" w:rsidRDefault="00D72DB6" w:rsidP="00D72DB6">
      <w:pPr>
        <w:pStyle w:val="ListParagraph"/>
        <w:spacing w:line="360" w:lineRule="auto"/>
        <w:ind w:left="0"/>
        <w:jc w:val="both"/>
        <w:rPr>
          <w:rFonts w:ascii="Times New Roman" w:hAnsi="Times New Roman"/>
          <w:sz w:val="24"/>
          <w:szCs w:val="24"/>
        </w:rPr>
      </w:pPr>
      <w:r w:rsidRPr="00D72DB6">
        <w:rPr>
          <w:rFonts w:ascii="Times New Roman" w:hAnsi="Times New Roman"/>
          <w:noProof/>
          <w:sz w:val="24"/>
          <w:szCs w:val="24"/>
          <w:lang w:eastAsia="sq-AL"/>
        </w:rPr>
        <w:drawing>
          <wp:inline distT="0" distB="0" distL="0" distR="0">
            <wp:extent cx="5743575" cy="3933825"/>
            <wp:effectExtent l="0" t="0" r="9525"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D72DB6" w:rsidRPr="00D72DB6" w:rsidRDefault="00D72DB6" w:rsidP="00D72DB6">
      <w:pPr>
        <w:pStyle w:val="Heading2"/>
        <w:rPr>
          <w:rFonts w:ascii="Times New Roman" w:hAnsi="Times New Roman" w:cs="Times New Roman"/>
          <w:sz w:val="24"/>
          <w:szCs w:val="24"/>
        </w:rPr>
      </w:pPr>
      <w:bookmarkStart w:id="26" w:name="_Toc507424898"/>
      <w:r w:rsidRPr="00D72DB6">
        <w:rPr>
          <w:rFonts w:ascii="Times New Roman" w:hAnsi="Times New Roman" w:cs="Times New Roman"/>
          <w:sz w:val="24"/>
          <w:szCs w:val="24"/>
        </w:rPr>
        <w:t>4.3 Detyrime që burojnë nga akte të tjera ligjore</w:t>
      </w:r>
      <w:bookmarkEnd w:id="26"/>
    </w:p>
    <w:p w:rsidR="00D72DB6" w:rsidRPr="00D72DB6" w:rsidRDefault="00D72DB6" w:rsidP="00D72DB6">
      <w:pPr>
        <w:tabs>
          <w:tab w:val="left" w:pos="360"/>
        </w:tabs>
        <w:spacing w:after="0" w:line="360" w:lineRule="auto"/>
        <w:jc w:val="both"/>
        <w:rPr>
          <w:rFonts w:ascii="Times New Roman" w:hAnsi="Times New Roman"/>
          <w:b/>
          <w:sz w:val="24"/>
          <w:szCs w:val="24"/>
        </w:rPr>
      </w:pPr>
    </w:p>
    <w:p w:rsidR="00D72DB6" w:rsidRPr="00D72DB6" w:rsidRDefault="00D72DB6" w:rsidP="00D72DB6">
      <w:pPr>
        <w:spacing w:line="360" w:lineRule="auto"/>
        <w:jc w:val="both"/>
        <w:rPr>
          <w:rFonts w:ascii="Times New Roman" w:eastAsiaTheme="minorHAnsi" w:hAnsi="Times New Roman"/>
          <w:sz w:val="24"/>
          <w:szCs w:val="24"/>
        </w:rPr>
      </w:pPr>
      <w:r w:rsidRPr="00D72DB6">
        <w:rPr>
          <w:rFonts w:ascii="Times New Roman" w:hAnsi="Times New Roman"/>
          <w:sz w:val="24"/>
          <w:szCs w:val="24"/>
        </w:rPr>
        <w:lastRenderedPageBreak/>
        <w:t xml:space="preserve">Akte ligjore në të cilat parashikohen edhe disa detyrime për Zyrën e Komisionerit në realizimin e tyre, janë: </w:t>
      </w:r>
    </w:p>
    <w:p w:rsidR="00D72DB6" w:rsidRPr="00D72DB6" w:rsidRDefault="00D72DB6" w:rsidP="00D72DB6">
      <w:pPr>
        <w:pStyle w:val="ListParagraph"/>
        <w:numPr>
          <w:ilvl w:val="0"/>
          <w:numId w:val="10"/>
        </w:numPr>
        <w:spacing w:after="0" w:line="360" w:lineRule="auto"/>
        <w:rPr>
          <w:rFonts w:ascii="Times New Roman" w:hAnsi="Times New Roman"/>
          <w:b/>
          <w:i/>
          <w:sz w:val="24"/>
          <w:szCs w:val="24"/>
        </w:rPr>
      </w:pPr>
      <w:r w:rsidRPr="00D72DB6">
        <w:rPr>
          <w:rFonts w:ascii="Times New Roman" w:hAnsi="Times New Roman"/>
          <w:b/>
          <w:i/>
          <w:sz w:val="24"/>
          <w:szCs w:val="24"/>
        </w:rPr>
        <w:t>Ligji nr. 60/2016 “Për sinjalizimin dhe mbrojtjen e sinjalizuesve”</w:t>
      </w:r>
    </w:p>
    <w:p w:rsidR="00D72DB6" w:rsidRPr="00D72DB6" w:rsidRDefault="00D72DB6" w:rsidP="00D72DB6">
      <w:pPr>
        <w:spacing w:line="360" w:lineRule="auto"/>
        <w:jc w:val="both"/>
        <w:rPr>
          <w:rFonts w:ascii="Times New Roman" w:hAnsi="Times New Roman"/>
          <w:sz w:val="24"/>
          <w:szCs w:val="24"/>
        </w:rPr>
      </w:pPr>
      <w:r w:rsidRPr="00D72DB6">
        <w:rPr>
          <w:rFonts w:ascii="Times New Roman" w:hAnsi="Times New Roman"/>
          <w:sz w:val="24"/>
          <w:szCs w:val="24"/>
        </w:rPr>
        <w:t>Në zbatim të nenit 16/3 dhe 24/3, të ligjit nr. 60/2016 “Për sinjalizimin dhe mbrojtjen e sinjalizuesve”, është miratuar Udhëzimi nr. 44/2016 “Për kushtet, kriteret e përpunimit dhe kohën e mbajtjes së të dhënave personale”</w:t>
      </w:r>
      <w:r w:rsidRPr="00D72DB6">
        <w:rPr>
          <w:rFonts w:ascii="Times New Roman" w:hAnsi="Times New Roman"/>
          <w:i/>
          <w:sz w:val="24"/>
          <w:szCs w:val="24"/>
        </w:rPr>
        <w:t xml:space="preserve">. </w:t>
      </w:r>
      <w:r w:rsidRPr="00D72DB6">
        <w:rPr>
          <w:rFonts w:ascii="Times New Roman" w:hAnsi="Times New Roman"/>
          <w:sz w:val="24"/>
          <w:szCs w:val="24"/>
        </w:rPr>
        <w:t>Mos zbatimi i kërkesave të këtij udhëzimi është objekt i sanksioneve të ligjit nr. 9887/2008 “Për mbrojtjen e të dhënave personale” i ndryshuar.</w:t>
      </w:r>
    </w:p>
    <w:p w:rsidR="00D72DB6" w:rsidRPr="00D72DB6" w:rsidRDefault="00D72DB6" w:rsidP="00D72DB6">
      <w:pPr>
        <w:pStyle w:val="ListParagraph"/>
        <w:numPr>
          <w:ilvl w:val="0"/>
          <w:numId w:val="10"/>
        </w:numPr>
        <w:spacing w:after="0" w:line="360" w:lineRule="auto"/>
        <w:rPr>
          <w:rFonts w:ascii="Times New Roman" w:hAnsi="Times New Roman"/>
          <w:b/>
          <w:i/>
          <w:sz w:val="24"/>
          <w:szCs w:val="24"/>
        </w:rPr>
      </w:pPr>
      <w:r w:rsidRPr="00D72DB6">
        <w:rPr>
          <w:rFonts w:ascii="Times New Roman" w:hAnsi="Times New Roman"/>
          <w:b/>
          <w:i/>
          <w:sz w:val="24"/>
          <w:szCs w:val="24"/>
        </w:rPr>
        <w:t>Ligji nr. 71/2016 “Për kontrollin kufitar”</w:t>
      </w:r>
    </w:p>
    <w:p w:rsidR="00D72DB6" w:rsidRPr="00D72DB6" w:rsidRDefault="00D72DB6" w:rsidP="00D72DB6">
      <w:pPr>
        <w:spacing w:after="0" w:line="360" w:lineRule="auto"/>
        <w:jc w:val="both"/>
        <w:rPr>
          <w:rFonts w:ascii="Times New Roman" w:hAnsi="Times New Roman"/>
          <w:sz w:val="24"/>
          <w:szCs w:val="24"/>
          <w:lang w:eastAsia="ja-JP"/>
        </w:rPr>
      </w:pPr>
      <w:r w:rsidRPr="00D72DB6">
        <w:rPr>
          <w:rFonts w:ascii="Times New Roman" w:hAnsi="Times New Roman"/>
          <w:sz w:val="24"/>
          <w:szCs w:val="24"/>
        </w:rPr>
        <w:t>Në zbatim të nenit 20/3 dhe 24/2, të ligjit nr. 71/2016 “Për kontrollin kufitar” është miratuar Udhëzimi i përbashkët me Ministrin e Punëve të Brendshme nr. 515, datë 27.09.2016 “</w:t>
      </w:r>
      <w:r w:rsidRPr="00D72DB6">
        <w:rPr>
          <w:rFonts w:ascii="Times New Roman" w:hAnsi="Times New Roman"/>
          <w:i/>
          <w:sz w:val="24"/>
          <w:szCs w:val="24"/>
        </w:rPr>
        <w:t>Për përpunimin e të dhënave personale nga rojet kufitare</w:t>
      </w:r>
      <w:r w:rsidRPr="00D72DB6">
        <w:rPr>
          <w:rFonts w:ascii="Times New Roman" w:hAnsi="Times New Roman"/>
          <w:sz w:val="24"/>
          <w:szCs w:val="24"/>
        </w:rPr>
        <w:t>”. Komisioneri për të Drejtën e Informimit dhe Mbrojtjen e të Dhënave Personale, vlerëson në mënyrë periodike, si dhe rast pas rasti, përputhshmë</w:t>
      </w:r>
      <w:r w:rsidRPr="00D72DB6">
        <w:rPr>
          <w:rFonts w:ascii="Times New Roman" w:hAnsi="Times New Roman"/>
          <w:sz w:val="24"/>
          <w:szCs w:val="24"/>
          <w:lang w:eastAsia="ja-JP"/>
        </w:rPr>
        <w:t>rinë e të dhënave të përpunuara sipas parashikimeve të pikave 3, 4 dhe 5 me qëllimin e përpunimit të tyre sipas këtij udhëzimi.</w:t>
      </w:r>
    </w:p>
    <w:p w:rsidR="00D72DB6" w:rsidRPr="00D72DB6" w:rsidRDefault="00D72DB6" w:rsidP="00D72DB6">
      <w:pPr>
        <w:spacing w:after="0" w:line="360" w:lineRule="auto"/>
        <w:jc w:val="both"/>
        <w:rPr>
          <w:rFonts w:ascii="Times New Roman" w:hAnsi="Times New Roman"/>
          <w:sz w:val="24"/>
          <w:szCs w:val="24"/>
          <w:lang w:eastAsia="ja-JP"/>
        </w:rPr>
      </w:pPr>
    </w:p>
    <w:p w:rsidR="00D72DB6" w:rsidRPr="00D72DB6" w:rsidRDefault="00D72DB6" w:rsidP="00D72DB6">
      <w:pPr>
        <w:spacing w:after="0" w:line="360" w:lineRule="auto"/>
        <w:rPr>
          <w:rFonts w:ascii="Times New Roman" w:hAnsi="Times New Roman"/>
          <w:sz w:val="24"/>
          <w:szCs w:val="24"/>
          <w:lang w:eastAsia="ja-JP"/>
        </w:rPr>
      </w:pPr>
      <w:r w:rsidRPr="00D72DB6">
        <w:rPr>
          <w:rFonts w:ascii="Times New Roman" w:hAnsi="Times New Roman"/>
          <w:b/>
          <w:i/>
          <w:sz w:val="24"/>
          <w:szCs w:val="24"/>
        </w:rPr>
        <w:t>c. Ligji nr. 19/2016 “Për masat shtesë të sigurisë publike”</w:t>
      </w:r>
    </w:p>
    <w:p w:rsidR="00D72DB6" w:rsidRPr="00D72DB6" w:rsidRDefault="00D72DB6" w:rsidP="00D72DB6">
      <w:pPr>
        <w:spacing w:line="360" w:lineRule="auto"/>
        <w:jc w:val="both"/>
        <w:rPr>
          <w:rFonts w:ascii="Times New Roman" w:hAnsi="Times New Roman"/>
          <w:sz w:val="24"/>
          <w:szCs w:val="24"/>
        </w:rPr>
      </w:pPr>
      <w:r w:rsidRPr="00D72DB6">
        <w:rPr>
          <w:rFonts w:ascii="Times New Roman" w:hAnsi="Times New Roman"/>
          <w:sz w:val="24"/>
          <w:szCs w:val="24"/>
        </w:rPr>
        <w:t>Në zbatim të ligjit nr. 19/2016 “Për masat shtesë të sigurisë publike”, referuar :</w:t>
      </w:r>
    </w:p>
    <w:p w:rsidR="00D72DB6" w:rsidRPr="00D72DB6" w:rsidRDefault="00D72DB6" w:rsidP="00D72DB6">
      <w:pPr>
        <w:pStyle w:val="ListParagraph"/>
        <w:numPr>
          <w:ilvl w:val="0"/>
          <w:numId w:val="11"/>
        </w:numPr>
        <w:spacing w:line="360" w:lineRule="auto"/>
        <w:jc w:val="both"/>
        <w:rPr>
          <w:rFonts w:ascii="Times New Roman" w:hAnsi="Times New Roman"/>
          <w:sz w:val="24"/>
          <w:szCs w:val="24"/>
        </w:rPr>
      </w:pPr>
      <w:r w:rsidRPr="00D72DB6">
        <w:rPr>
          <w:rFonts w:ascii="Times New Roman" w:hAnsi="Times New Roman"/>
          <w:sz w:val="24"/>
          <w:szCs w:val="24"/>
        </w:rPr>
        <w:t>Pikës 2, të nenit 5, është miratuar Udhëzimi i përbashkët, nr. 1181, datë 30.10.2017 “</w:t>
      </w:r>
      <w:r w:rsidRPr="00D72DB6">
        <w:rPr>
          <w:rFonts w:ascii="Times New Roman" w:hAnsi="Times New Roman"/>
          <w:i/>
          <w:sz w:val="24"/>
          <w:szCs w:val="24"/>
        </w:rPr>
        <w:t>Për ngritjen dhe funksionimin e regjistrit elektronik të subjekteve që marrin masa shtesë të sigurisë publike</w:t>
      </w:r>
      <w:r w:rsidRPr="00D72DB6">
        <w:rPr>
          <w:rFonts w:ascii="Times New Roman" w:hAnsi="Times New Roman"/>
          <w:sz w:val="24"/>
          <w:szCs w:val="24"/>
        </w:rPr>
        <w:t>”, i ministrit të Brendshëm dhe i Komisionerit për të Drejtën e Informimit dhe Mbrojtjen e të Dhënave Personale;</w:t>
      </w:r>
    </w:p>
    <w:p w:rsidR="00D72DB6" w:rsidRPr="00D72DB6" w:rsidRDefault="00D72DB6" w:rsidP="00D72DB6">
      <w:pPr>
        <w:pStyle w:val="ListParagraph"/>
        <w:numPr>
          <w:ilvl w:val="0"/>
          <w:numId w:val="11"/>
        </w:numPr>
        <w:spacing w:line="360" w:lineRule="auto"/>
        <w:jc w:val="both"/>
        <w:rPr>
          <w:rFonts w:ascii="Times New Roman" w:hAnsi="Times New Roman"/>
          <w:sz w:val="24"/>
          <w:szCs w:val="24"/>
        </w:rPr>
      </w:pPr>
      <w:r w:rsidRPr="00D72DB6">
        <w:rPr>
          <w:rFonts w:ascii="Times New Roman" w:hAnsi="Times New Roman"/>
          <w:sz w:val="24"/>
          <w:szCs w:val="24"/>
        </w:rPr>
        <w:t>Pikës 3 dhe 4, të nenit 12, nenit 14 dhe pikës 3 të nenit 20, është miratuar, Udhëzimi i Komisionerit nr. 46/2017</w:t>
      </w:r>
      <w:r w:rsidRPr="00D72DB6">
        <w:rPr>
          <w:rFonts w:ascii="Times New Roman" w:hAnsi="Times New Roman"/>
          <w:bCs/>
          <w:sz w:val="24"/>
          <w:szCs w:val="24"/>
        </w:rPr>
        <w:t xml:space="preserve"> “</w:t>
      </w:r>
      <w:r w:rsidRPr="00D72DB6">
        <w:rPr>
          <w:rFonts w:ascii="Times New Roman" w:hAnsi="Times New Roman"/>
          <w:i/>
          <w:sz w:val="24"/>
          <w:szCs w:val="24"/>
        </w:rPr>
        <w:t>Për përcaktimin e  nivelit të sigurisë për përpunimin e të dhënave personale nëpërmjet sistemeve të sigurisë</w:t>
      </w:r>
      <w:r w:rsidRPr="00D72DB6">
        <w:rPr>
          <w:rFonts w:ascii="Times New Roman" w:hAnsi="Times New Roman"/>
          <w:sz w:val="24"/>
          <w:szCs w:val="24"/>
        </w:rPr>
        <w:t>”. Objekti i këtij udhëzimi është përcaktimi i nivelit të sigurisë që duhet të garantojnë subjektet publike dhe private gjatë përpunimit të të dhënave personale nëpërmjet mjeteve të përcaktuara në nenin 8 të ligjit nr.19/2016 “Për masat shtesë të sigurisë publike”.</w:t>
      </w:r>
    </w:p>
    <w:p w:rsidR="00D72DB6" w:rsidRPr="00D72DB6" w:rsidRDefault="00D72DB6" w:rsidP="00D72DB6">
      <w:pPr>
        <w:pStyle w:val="Heading2"/>
        <w:numPr>
          <w:ilvl w:val="1"/>
          <w:numId w:val="7"/>
        </w:numPr>
        <w:tabs>
          <w:tab w:val="left" w:pos="360"/>
        </w:tabs>
        <w:ind w:left="-180" w:firstLine="90"/>
        <w:rPr>
          <w:rFonts w:ascii="Times New Roman" w:hAnsi="Times New Roman" w:cs="Times New Roman"/>
          <w:sz w:val="24"/>
          <w:szCs w:val="24"/>
        </w:rPr>
      </w:pPr>
      <w:bookmarkStart w:id="27" w:name="_Toc507424899"/>
      <w:r w:rsidRPr="00D72DB6">
        <w:rPr>
          <w:rFonts w:ascii="Times New Roman" w:hAnsi="Times New Roman" w:cs="Times New Roman"/>
          <w:sz w:val="24"/>
          <w:szCs w:val="24"/>
        </w:rPr>
        <w:t>Monitorimi i Fletoreve Zyrtare</w:t>
      </w:r>
      <w:bookmarkEnd w:id="27"/>
    </w:p>
    <w:p w:rsidR="00D72DB6" w:rsidRPr="00D72DB6" w:rsidRDefault="00D72DB6" w:rsidP="00D72DB6">
      <w:pPr>
        <w:pStyle w:val="ListParagraph"/>
        <w:rPr>
          <w:rFonts w:ascii="Times New Roman" w:hAnsi="Times New Roman"/>
          <w:sz w:val="24"/>
          <w:szCs w:val="24"/>
        </w:rPr>
      </w:pPr>
    </w:p>
    <w:p w:rsidR="00D72DB6" w:rsidRPr="00D72DB6" w:rsidRDefault="00D72DB6" w:rsidP="00D72DB6">
      <w:pPr>
        <w:spacing w:after="0" w:line="360" w:lineRule="auto"/>
        <w:jc w:val="both"/>
        <w:rPr>
          <w:rFonts w:ascii="Times New Roman" w:hAnsi="Times New Roman"/>
          <w:sz w:val="24"/>
          <w:szCs w:val="24"/>
        </w:rPr>
      </w:pPr>
      <w:r w:rsidRPr="00D72DB6">
        <w:rPr>
          <w:rFonts w:ascii="Times New Roman" w:hAnsi="Times New Roman"/>
          <w:sz w:val="24"/>
          <w:szCs w:val="24"/>
        </w:rPr>
        <w:t xml:space="preserve">Ka vijuar edhe në këtë periudhë kontrolli i fletoreve zyrtare për të evidentuar rastet e miratimit të projekt akteve ligjore dhe nënligjore për të cilat nuk është marrë mendimi i Zyrës së Komisionerit. Ky verifikim siç edhe kemi cituar në raportet e mëparshme bëhet me qëllim </w:t>
      </w:r>
      <w:r w:rsidRPr="00D72DB6">
        <w:rPr>
          <w:rFonts w:ascii="Times New Roman" w:hAnsi="Times New Roman"/>
          <w:sz w:val="24"/>
          <w:szCs w:val="24"/>
        </w:rPr>
        <w:lastRenderedPageBreak/>
        <w:t xml:space="preserve">reflektimin e institucioneve në qasjen e legjislacionit që kërkojnë të miratojnë, me ligjin për mbrojtjen e të dhënave personale. Nga kontrolli i fletoreve zyrtare janë evidentuar </w:t>
      </w:r>
      <w:r w:rsidRPr="00D72DB6">
        <w:rPr>
          <w:rFonts w:ascii="Times New Roman" w:hAnsi="Times New Roman"/>
          <w:b/>
          <w:sz w:val="24"/>
          <w:szCs w:val="24"/>
        </w:rPr>
        <w:t>8</w:t>
      </w:r>
      <w:r w:rsidRPr="00D72DB6">
        <w:rPr>
          <w:rFonts w:ascii="Times New Roman" w:hAnsi="Times New Roman"/>
          <w:sz w:val="24"/>
          <w:szCs w:val="24"/>
        </w:rPr>
        <w:t xml:space="preserve"> ligje dhe </w:t>
      </w:r>
      <w:r w:rsidRPr="00D72DB6">
        <w:rPr>
          <w:rFonts w:ascii="Times New Roman" w:hAnsi="Times New Roman"/>
          <w:b/>
          <w:sz w:val="24"/>
          <w:szCs w:val="24"/>
        </w:rPr>
        <w:t>3</w:t>
      </w:r>
      <w:r w:rsidRPr="00D72DB6">
        <w:rPr>
          <w:rFonts w:ascii="Times New Roman" w:hAnsi="Times New Roman"/>
          <w:sz w:val="24"/>
          <w:szCs w:val="24"/>
        </w:rPr>
        <w:t xml:space="preserve"> VKM që kanë të bëjnë me të dhënat personale dhe që janë miratuar pa u dërguar për mendim pranë Zyrës së Komisionerit. (Aneksi 3)</w:t>
      </w:r>
    </w:p>
    <w:p w:rsidR="00D72DB6" w:rsidRPr="00D72DB6" w:rsidRDefault="00D72DB6" w:rsidP="00D72DB6">
      <w:pPr>
        <w:spacing w:after="0" w:line="360" w:lineRule="auto"/>
        <w:jc w:val="both"/>
        <w:rPr>
          <w:rFonts w:ascii="Times New Roman" w:hAnsi="Times New Roman"/>
          <w:sz w:val="24"/>
          <w:szCs w:val="24"/>
        </w:rPr>
      </w:pPr>
      <w:r w:rsidRPr="00D72DB6">
        <w:rPr>
          <w:rFonts w:ascii="Times New Roman" w:hAnsi="Times New Roman"/>
          <w:sz w:val="24"/>
          <w:szCs w:val="24"/>
        </w:rPr>
        <w:t xml:space="preserve"> </w:t>
      </w:r>
    </w:p>
    <w:p w:rsidR="00D72DB6" w:rsidRPr="00D72DB6" w:rsidRDefault="00D72DB6" w:rsidP="00D72DB6">
      <w:pPr>
        <w:pStyle w:val="Heading2"/>
        <w:rPr>
          <w:rFonts w:ascii="Times New Roman" w:hAnsi="Times New Roman" w:cs="Times New Roman"/>
          <w:sz w:val="24"/>
          <w:szCs w:val="24"/>
        </w:rPr>
      </w:pPr>
      <w:bookmarkStart w:id="28" w:name="_Toc507424900"/>
      <w:r w:rsidRPr="00D72DB6">
        <w:rPr>
          <w:rFonts w:ascii="Times New Roman" w:hAnsi="Times New Roman" w:cs="Times New Roman"/>
          <w:bCs/>
          <w:sz w:val="24"/>
          <w:szCs w:val="24"/>
        </w:rPr>
        <w:t xml:space="preserve">4.5 </w:t>
      </w:r>
      <w:r w:rsidRPr="00D72DB6">
        <w:rPr>
          <w:rFonts w:ascii="Times New Roman" w:hAnsi="Times New Roman" w:cs="Times New Roman"/>
          <w:sz w:val="24"/>
          <w:szCs w:val="24"/>
        </w:rPr>
        <w:t>Proceset gjyqësore</w:t>
      </w:r>
      <w:bookmarkEnd w:id="28"/>
    </w:p>
    <w:p w:rsidR="00D72DB6" w:rsidRPr="00D72DB6" w:rsidRDefault="00D72DB6" w:rsidP="00D72DB6">
      <w:pPr>
        <w:spacing w:before="240" w:line="360" w:lineRule="auto"/>
        <w:jc w:val="both"/>
        <w:rPr>
          <w:rFonts w:ascii="Times New Roman" w:hAnsi="Times New Roman"/>
          <w:sz w:val="24"/>
          <w:szCs w:val="24"/>
        </w:rPr>
      </w:pPr>
      <w:r w:rsidRPr="00D72DB6">
        <w:rPr>
          <w:rFonts w:ascii="Times New Roman" w:hAnsi="Times New Roman"/>
          <w:sz w:val="24"/>
          <w:szCs w:val="24"/>
        </w:rPr>
        <w:t xml:space="preserve">Në lidhje me vendimet e Komisionerit dhe zbatimin e tyre, bazuar në numrin e vendimeve të lëna në fuqi nga gjykata ose ekzekutimin në mënyrë vullnetare të tyre edhe për këtë vit  konstatohet një ecuri shumë pozitive. </w:t>
      </w:r>
    </w:p>
    <w:p w:rsidR="00D72DB6" w:rsidRPr="00D72DB6" w:rsidRDefault="00D72DB6" w:rsidP="00D72DB6">
      <w:pPr>
        <w:tabs>
          <w:tab w:val="left" w:pos="360"/>
          <w:tab w:val="left" w:pos="3930"/>
        </w:tabs>
        <w:spacing w:after="0" w:line="360" w:lineRule="auto"/>
        <w:jc w:val="both"/>
        <w:rPr>
          <w:rFonts w:ascii="Times New Roman" w:hAnsi="Times New Roman"/>
          <w:sz w:val="24"/>
          <w:szCs w:val="24"/>
        </w:rPr>
      </w:pPr>
      <w:r w:rsidRPr="00D72DB6">
        <w:rPr>
          <w:rFonts w:ascii="Times New Roman" w:hAnsi="Times New Roman"/>
          <w:sz w:val="24"/>
          <w:szCs w:val="24"/>
        </w:rPr>
        <w:t xml:space="preserve">Komisioneri për vitin 2017 në respektim të ligjit nr. 119/2014 “Për të drejtën e informimit” është shprehur me </w:t>
      </w:r>
      <w:r w:rsidRPr="00D72DB6">
        <w:rPr>
          <w:rFonts w:ascii="Times New Roman" w:hAnsi="Times New Roman"/>
          <w:b/>
          <w:sz w:val="24"/>
          <w:szCs w:val="24"/>
        </w:rPr>
        <w:t xml:space="preserve">66 vendime, </w:t>
      </w:r>
      <w:r w:rsidRPr="00D72DB6">
        <w:rPr>
          <w:rFonts w:ascii="Times New Roman" w:hAnsi="Times New Roman"/>
          <w:sz w:val="24"/>
          <w:szCs w:val="24"/>
        </w:rPr>
        <w:t>ndër të cilat janë ankimuar dhe janë</w:t>
      </w:r>
      <w:r w:rsidRPr="00D72DB6">
        <w:rPr>
          <w:rFonts w:ascii="Times New Roman" w:hAnsi="Times New Roman"/>
          <w:b/>
          <w:sz w:val="24"/>
          <w:szCs w:val="24"/>
        </w:rPr>
        <w:t xml:space="preserve"> ndjekur 22 procese gjyqësore</w:t>
      </w:r>
      <w:r w:rsidRPr="00D72DB6">
        <w:rPr>
          <w:rFonts w:ascii="Times New Roman" w:hAnsi="Times New Roman"/>
          <w:sz w:val="24"/>
          <w:szCs w:val="24"/>
        </w:rPr>
        <w:t xml:space="preserve">, prej të cilave gjykata ka vendosur për </w:t>
      </w:r>
      <w:r w:rsidRPr="00D72DB6">
        <w:rPr>
          <w:rFonts w:ascii="Times New Roman" w:hAnsi="Times New Roman"/>
          <w:b/>
          <w:sz w:val="24"/>
          <w:szCs w:val="24"/>
        </w:rPr>
        <w:t xml:space="preserve">11 </w:t>
      </w:r>
      <w:r w:rsidRPr="00D72DB6">
        <w:rPr>
          <w:rFonts w:ascii="Times New Roman" w:hAnsi="Times New Roman"/>
          <w:sz w:val="24"/>
          <w:szCs w:val="24"/>
        </w:rPr>
        <w:t xml:space="preserve">rrëzimin e padisë (lënien në fuqi të vendimeve të Komisionerit), </w:t>
      </w:r>
      <w:r w:rsidRPr="00D72DB6">
        <w:rPr>
          <w:rFonts w:ascii="Times New Roman" w:hAnsi="Times New Roman"/>
          <w:b/>
          <w:sz w:val="24"/>
          <w:szCs w:val="24"/>
        </w:rPr>
        <w:t xml:space="preserve">4 </w:t>
      </w:r>
      <w:r w:rsidRPr="00D72DB6">
        <w:rPr>
          <w:rFonts w:ascii="Times New Roman" w:hAnsi="Times New Roman"/>
          <w:sz w:val="24"/>
          <w:szCs w:val="24"/>
        </w:rPr>
        <w:t xml:space="preserve">pranim të padisë, </w:t>
      </w:r>
      <w:r w:rsidRPr="00D72DB6">
        <w:rPr>
          <w:rFonts w:ascii="Times New Roman" w:hAnsi="Times New Roman"/>
          <w:b/>
          <w:sz w:val="24"/>
          <w:szCs w:val="24"/>
        </w:rPr>
        <w:t>5</w:t>
      </w:r>
      <w:r w:rsidRPr="00D72DB6">
        <w:rPr>
          <w:rFonts w:ascii="Times New Roman" w:hAnsi="Times New Roman"/>
          <w:sz w:val="24"/>
          <w:szCs w:val="24"/>
        </w:rPr>
        <w:t xml:space="preserve"> pushimin e procesit gjyqësor, </w:t>
      </w:r>
      <w:r w:rsidRPr="00D72DB6">
        <w:rPr>
          <w:rFonts w:ascii="Times New Roman" w:hAnsi="Times New Roman"/>
          <w:b/>
          <w:sz w:val="24"/>
          <w:szCs w:val="24"/>
        </w:rPr>
        <w:t>1</w:t>
      </w:r>
      <w:r w:rsidRPr="00D72DB6">
        <w:rPr>
          <w:rFonts w:ascii="Times New Roman" w:hAnsi="Times New Roman"/>
          <w:sz w:val="24"/>
          <w:szCs w:val="24"/>
        </w:rPr>
        <w:t xml:space="preserve"> revokim padie, </w:t>
      </w:r>
      <w:r w:rsidRPr="00D72DB6">
        <w:rPr>
          <w:rFonts w:ascii="Times New Roman" w:hAnsi="Times New Roman"/>
          <w:b/>
          <w:sz w:val="24"/>
          <w:szCs w:val="24"/>
        </w:rPr>
        <w:t>1</w:t>
      </w:r>
      <w:r w:rsidRPr="00D72DB6">
        <w:rPr>
          <w:rFonts w:ascii="Times New Roman" w:hAnsi="Times New Roman"/>
          <w:sz w:val="24"/>
          <w:szCs w:val="24"/>
        </w:rPr>
        <w:t xml:space="preserve"> pranim të pjesshëm padie.  </w:t>
      </w:r>
    </w:p>
    <w:p w:rsidR="00D72DB6" w:rsidRPr="00D72DB6" w:rsidRDefault="00D72DB6" w:rsidP="00D72DB6">
      <w:pPr>
        <w:tabs>
          <w:tab w:val="left" w:pos="360"/>
          <w:tab w:val="left" w:pos="3930"/>
        </w:tabs>
        <w:spacing w:after="0" w:line="360" w:lineRule="auto"/>
        <w:jc w:val="both"/>
        <w:rPr>
          <w:rFonts w:ascii="Times New Roman" w:hAnsi="Times New Roman"/>
          <w:sz w:val="24"/>
          <w:szCs w:val="24"/>
        </w:rPr>
      </w:pPr>
    </w:p>
    <w:tbl>
      <w:tblPr>
        <w:tblStyle w:val="GridTable3Accent5"/>
        <w:tblW w:w="0" w:type="auto"/>
        <w:tblInd w:w="0" w:type="dxa"/>
        <w:tblLook w:val="04A0"/>
      </w:tblPr>
      <w:tblGrid>
        <w:gridCol w:w="4523"/>
        <w:gridCol w:w="4498"/>
      </w:tblGrid>
      <w:tr w:rsidR="00D72DB6" w:rsidRPr="00D72DB6" w:rsidTr="00D72DB6">
        <w:trPr>
          <w:cnfStyle w:val="100000000000"/>
        </w:trPr>
        <w:tc>
          <w:tcPr>
            <w:cnfStyle w:val="001000000100"/>
            <w:tcW w:w="9021" w:type="dxa"/>
            <w:gridSpan w:val="2"/>
            <w:hideMark/>
          </w:tcPr>
          <w:p w:rsidR="00D72DB6" w:rsidRPr="00D72DB6" w:rsidRDefault="00D72DB6">
            <w:pPr>
              <w:spacing w:after="0" w:line="360" w:lineRule="auto"/>
              <w:jc w:val="center"/>
              <w:rPr>
                <w:rFonts w:ascii="Times New Roman" w:hAnsi="Times New Roman"/>
                <w:b w:val="0"/>
                <w:color w:val="0070C0"/>
                <w:sz w:val="24"/>
                <w:szCs w:val="24"/>
              </w:rPr>
            </w:pPr>
            <w:r w:rsidRPr="00D72DB6">
              <w:rPr>
                <w:rFonts w:ascii="Times New Roman" w:hAnsi="Times New Roman"/>
                <w:b w:val="0"/>
                <w:color w:val="0070C0"/>
                <w:sz w:val="24"/>
                <w:szCs w:val="24"/>
              </w:rPr>
              <w:t>E DREJTA PËR INFORMIM</w:t>
            </w:r>
          </w:p>
        </w:tc>
      </w:tr>
      <w:tr w:rsidR="00D72DB6" w:rsidRPr="00D72DB6" w:rsidTr="00D72DB6">
        <w:trPr>
          <w:cnfStyle w:val="000000100000"/>
        </w:trPr>
        <w:tc>
          <w:tcPr>
            <w:cnfStyle w:val="001000000000"/>
            <w:tcW w:w="4523" w:type="dxa"/>
            <w:tcBorders>
              <w:right w:val="single" w:sz="4" w:space="0" w:color="8EAADB" w:themeColor="accent5" w:themeTint="99"/>
            </w:tcBorders>
            <w:hideMark/>
          </w:tcPr>
          <w:p w:rsidR="00D72DB6" w:rsidRPr="00D72DB6" w:rsidRDefault="00D72DB6">
            <w:pPr>
              <w:spacing w:after="0" w:line="360" w:lineRule="auto"/>
              <w:jc w:val="both"/>
              <w:rPr>
                <w:rFonts w:ascii="Times New Roman" w:hAnsi="Times New Roman"/>
                <w:b/>
                <w:color w:val="2E74B5" w:themeColor="accent1" w:themeShade="BF"/>
                <w:sz w:val="24"/>
                <w:szCs w:val="24"/>
              </w:rPr>
            </w:pPr>
            <w:r w:rsidRPr="00D72DB6">
              <w:rPr>
                <w:rFonts w:ascii="Times New Roman" w:hAnsi="Times New Roman"/>
                <w:b/>
                <w:color w:val="2E74B5" w:themeColor="accent1" w:themeShade="BF"/>
                <w:sz w:val="24"/>
                <w:szCs w:val="24"/>
              </w:rPr>
              <w:t>Viti</w:t>
            </w:r>
          </w:p>
        </w:tc>
        <w:tc>
          <w:tcPr>
            <w:tcW w:w="4498"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D72DB6" w:rsidRPr="00D72DB6" w:rsidRDefault="00D72DB6">
            <w:pPr>
              <w:spacing w:after="0" w:line="360" w:lineRule="auto"/>
              <w:jc w:val="both"/>
              <w:cnfStyle w:val="000000100000"/>
              <w:rPr>
                <w:rFonts w:ascii="Times New Roman" w:hAnsi="Times New Roman"/>
                <w:b/>
                <w:color w:val="2E74B5" w:themeColor="accent1" w:themeShade="BF"/>
                <w:sz w:val="24"/>
                <w:szCs w:val="24"/>
              </w:rPr>
            </w:pPr>
            <w:r w:rsidRPr="00D72DB6">
              <w:rPr>
                <w:rFonts w:ascii="Times New Roman" w:hAnsi="Times New Roman"/>
                <w:b/>
                <w:color w:val="2E74B5" w:themeColor="accent1" w:themeShade="BF"/>
                <w:sz w:val="24"/>
                <w:szCs w:val="24"/>
              </w:rPr>
              <w:t>2017</w:t>
            </w:r>
          </w:p>
        </w:tc>
      </w:tr>
      <w:tr w:rsidR="00D72DB6" w:rsidRPr="00D72DB6" w:rsidTr="00D72DB6">
        <w:tc>
          <w:tcPr>
            <w:cnfStyle w:val="001000000000"/>
            <w:tcW w:w="4523" w:type="dxa"/>
            <w:tcBorders>
              <w:right w:val="single" w:sz="4" w:space="0" w:color="8EAADB" w:themeColor="accent5" w:themeTint="99"/>
            </w:tcBorders>
            <w:hideMark/>
          </w:tcPr>
          <w:p w:rsidR="00D72DB6" w:rsidRPr="00D72DB6" w:rsidRDefault="00D72DB6">
            <w:pPr>
              <w:spacing w:after="0" w:line="360" w:lineRule="auto"/>
              <w:jc w:val="both"/>
              <w:rPr>
                <w:rFonts w:ascii="Times New Roman" w:hAnsi="Times New Roman"/>
                <w:b/>
                <w:sz w:val="24"/>
                <w:szCs w:val="24"/>
              </w:rPr>
            </w:pPr>
            <w:r w:rsidRPr="00D72DB6">
              <w:rPr>
                <w:rFonts w:ascii="Times New Roman" w:hAnsi="Times New Roman"/>
                <w:b/>
                <w:sz w:val="24"/>
                <w:szCs w:val="24"/>
              </w:rPr>
              <w:t>Vendime</w:t>
            </w:r>
          </w:p>
        </w:tc>
        <w:tc>
          <w:tcPr>
            <w:tcW w:w="4498"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D72DB6" w:rsidRPr="00D72DB6" w:rsidRDefault="00D72DB6">
            <w:pPr>
              <w:spacing w:after="0" w:line="360" w:lineRule="auto"/>
              <w:jc w:val="both"/>
              <w:cnfStyle w:val="000000000000"/>
              <w:rPr>
                <w:rFonts w:ascii="Times New Roman" w:hAnsi="Times New Roman"/>
                <w:b/>
                <w:sz w:val="24"/>
                <w:szCs w:val="24"/>
              </w:rPr>
            </w:pPr>
            <w:r w:rsidRPr="00D72DB6">
              <w:rPr>
                <w:rFonts w:ascii="Times New Roman" w:hAnsi="Times New Roman"/>
                <w:b/>
                <w:sz w:val="24"/>
                <w:szCs w:val="24"/>
              </w:rPr>
              <w:t>66</w:t>
            </w:r>
          </w:p>
        </w:tc>
      </w:tr>
      <w:tr w:rsidR="00D72DB6" w:rsidRPr="00D72DB6" w:rsidTr="00D72DB6">
        <w:trPr>
          <w:cnfStyle w:val="000000100000"/>
        </w:trPr>
        <w:tc>
          <w:tcPr>
            <w:cnfStyle w:val="001000000000"/>
            <w:tcW w:w="4523" w:type="dxa"/>
            <w:tcBorders>
              <w:right w:val="single" w:sz="4" w:space="0" w:color="8EAADB" w:themeColor="accent5" w:themeTint="99"/>
            </w:tcBorders>
            <w:hideMark/>
          </w:tcPr>
          <w:p w:rsidR="00D72DB6" w:rsidRPr="00D72DB6" w:rsidRDefault="00D72DB6">
            <w:pPr>
              <w:spacing w:after="0" w:line="360" w:lineRule="auto"/>
              <w:jc w:val="both"/>
              <w:rPr>
                <w:rFonts w:ascii="Times New Roman" w:hAnsi="Times New Roman"/>
                <w:b/>
                <w:sz w:val="24"/>
                <w:szCs w:val="24"/>
              </w:rPr>
            </w:pPr>
            <w:r w:rsidRPr="00D72DB6">
              <w:rPr>
                <w:rFonts w:ascii="Times New Roman" w:hAnsi="Times New Roman"/>
                <w:b/>
                <w:sz w:val="24"/>
                <w:szCs w:val="24"/>
              </w:rPr>
              <w:t xml:space="preserve">Sanksione      </w:t>
            </w:r>
          </w:p>
        </w:tc>
        <w:tc>
          <w:tcPr>
            <w:tcW w:w="4498"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D72DB6" w:rsidRPr="00D72DB6" w:rsidRDefault="00D72DB6">
            <w:pPr>
              <w:spacing w:after="0" w:line="360" w:lineRule="auto"/>
              <w:jc w:val="both"/>
              <w:cnfStyle w:val="000000100000"/>
              <w:rPr>
                <w:rFonts w:ascii="Times New Roman" w:hAnsi="Times New Roman"/>
                <w:b/>
                <w:sz w:val="24"/>
                <w:szCs w:val="24"/>
              </w:rPr>
            </w:pPr>
            <w:r w:rsidRPr="00D72DB6">
              <w:rPr>
                <w:rFonts w:ascii="Times New Roman" w:hAnsi="Times New Roman"/>
                <w:b/>
                <w:sz w:val="24"/>
                <w:szCs w:val="24"/>
              </w:rPr>
              <w:t>6</w:t>
            </w:r>
          </w:p>
        </w:tc>
      </w:tr>
      <w:tr w:rsidR="00D72DB6" w:rsidRPr="00D72DB6" w:rsidTr="00D72DB6">
        <w:tc>
          <w:tcPr>
            <w:cnfStyle w:val="001000000000"/>
            <w:tcW w:w="4523" w:type="dxa"/>
            <w:tcBorders>
              <w:right w:val="single" w:sz="4" w:space="0" w:color="8EAADB" w:themeColor="accent5" w:themeTint="99"/>
            </w:tcBorders>
            <w:hideMark/>
          </w:tcPr>
          <w:p w:rsidR="00D72DB6" w:rsidRPr="00D72DB6" w:rsidRDefault="00D72DB6">
            <w:pPr>
              <w:spacing w:after="0" w:line="360" w:lineRule="auto"/>
              <w:jc w:val="both"/>
              <w:rPr>
                <w:rFonts w:ascii="Times New Roman" w:hAnsi="Times New Roman"/>
                <w:b/>
                <w:sz w:val="24"/>
                <w:szCs w:val="24"/>
              </w:rPr>
            </w:pPr>
            <w:r w:rsidRPr="00D72DB6">
              <w:rPr>
                <w:rFonts w:ascii="Times New Roman" w:hAnsi="Times New Roman"/>
                <w:b/>
                <w:sz w:val="24"/>
                <w:szCs w:val="24"/>
              </w:rPr>
              <w:t xml:space="preserve">Procese Gjyqësore         </w:t>
            </w:r>
          </w:p>
        </w:tc>
        <w:tc>
          <w:tcPr>
            <w:tcW w:w="4498"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D72DB6" w:rsidRPr="00D72DB6" w:rsidRDefault="00D72DB6">
            <w:pPr>
              <w:spacing w:after="0" w:line="360" w:lineRule="auto"/>
              <w:jc w:val="both"/>
              <w:cnfStyle w:val="000000000000"/>
              <w:rPr>
                <w:rFonts w:ascii="Times New Roman" w:hAnsi="Times New Roman"/>
                <w:b/>
                <w:sz w:val="24"/>
                <w:szCs w:val="24"/>
              </w:rPr>
            </w:pPr>
            <w:r w:rsidRPr="00D72DB6">
              <w:rPr>
                <w:rFonts w:ascii="Times New Roman" w:hAnsi="Times New Roman"/>
                <w:b/>
                <w:sz w:val="24"/>
                <w:szCs w:val="24"/>
              </w:rPr>
              <w:t>22</w:t>
            </w:r>
          </w:p>
        </w:tc>
      </w:tr>
      <w:tr w:rsidR="00D72DB6" w:rsidRPr="00D72DB6" w:rsidTr="00D72DB6">
        <w:trPr>
          <w:cnfStyle w:val="000000100000"/>
        </w:trPr>
        <w:tc>
          <w:tcPr>
            <w:cnfStyle w:val="001000000000"/>
            <w:tcW w:w="4523" w:type="dxa"/>
            <w:tcBorders>
              <w:right w:val="single" w:sz="4" w:space="0" w:color="8EAADB" w:themeColor="accent5" w:themeTint="99"/>
            </w:tcBorders>
            <w:hideMark/>
          </w:tcPr>
          <w:p w:rsidR="00D72DB6" w:rsidRPr="00D72DB6" w:rsidRDefault="00D72DB6">
            <w:pPr>
              <w:spacing w:after="0" w:line="360" w:lineRule="auto"/>
              <w:jc w:val="both"/>
              <w:rPr>
                <w:rFonts w:ascii="Times New Roman" w:hAnsi="Times New Roman"/>
                <w:b/>
                <w:sz w:val="24"/>
                <w:szCs w:val="24"/>
              </w:rPr>
            </w:pPr>
            <w:r w:rsidRPr="00D72DB6">
              <w:rPr>
                <w:rFonts w:ascii="Times New Roman" w:hAnsi="Times New Roman"/>
                <w:b/>
                <w:sz w:val="24"/>
                <w:szCs w:val="24"/>
              </w:rPr>
              <w:t>Rrëzimin e padisë</w:t>
            </w:r>
          </w:p>
        </w:tc>
        <w:tc>
          <w:tcPr>
            <w:tcW w:w="4498"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D72DB6" w:rsidRPr="00D72DB6" w:rsidRDefault="00D72DB6">
            <w:pPr>
              <w:spacing w:after="0" w:line="360" w:lineRule="auto"/>
              <w:jc w:val="both"/>
              <w:cnfStyle w:val="000000100000"/>
              <w:rPr>
                <w:rFonts w:ascii="Times New Roman" w:hAnsi="Times New Roman"/>
                <w:b/>
                <w:sz w:val="24"/>
                <w:szCs w:val="24"/>
              </w:rPr>
            </w:pPr>
            <w:r w:rsidRPr="00D72DB6">
              <w:rPr>
                <w:rFonts w:ascii="Times New Roman" w:hAnsi="Times New Roman"/>
                <w:b/>
                <w:sz w:val="24"/>
                <w:szCs w:val="24"/>
              </w:rPr>
              <w:t>11</w:t>
            </w:r>
          </w:p>
        </w:tc>
      </w:tr>
      <w:tr w:rsidR="00D72DB6" w:rsidRPr="00D72DB6" w:rsidTr="00D72DB6">
        <w:tc>
          <w:tcPr>
            <w:cnfStyle w:val="001000000000"/>
            <w:tcW w:w="4523" w:type="dxa"/>
            <w:tcBorders>
              <w:right w:val="single" w:sz="4" w:space="0" w:color="8EAADB" w:themeColor="accent5" w:themeTint="99"/>
            </w:tcBorders>
            <w:hideMark/>
          </w:tcPr>
          <w:p w:rsidR="00D72DB6" w:rsidRPr="00D72DB6" w:rsidRDefault="00D72DB6">
            <w:pPr>
              <w:spacing w:after="0" w:line="360" w:lineRule="auto"/>
              <w:jc w:val="both"/>
              <w:rPr>
                <w:rFonts w:ascii="Times New Roman" w:hAnsi="Times New Roman"/>
                <w:b/>
                <w:sz w:val="24"/>
                <w:szCs w:val="24"/>
              </w:rPr>
            </w:pPr>
            <w:r w:rsidRPr="00D72DB6">
              <w:rPr>
                <w:rFonts w:ascii="Times New Roman" w:hAnsi="Times New Roman"/>
                <w:b/>
                <w:sz w:val="24"/>
                <w:szCs w:val="24"/>
              </w:rPr>
              <w:t>Pranim të padisë</w:t>
            </w:r>
          </w:p>
        </w:tc>
        <w:tc>
          <w:tcPr>
            <w:tcW w:w="4498"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D72DB6" w:rsidRPr="00D72DB6" w:rsidRDefault="00D72DB6">
            <w:pPr>
              <w:spacing w:after="0" w:line="360" w:lineRule="auto"/>
              <w:jc w:val="both"/>
              <w:cnfStyle w:val="000000000000"/>
              <w:rPr>
                <w:rFonts w:ascii="Times New Roman" w:hAnsi="Times New Roman"/>
                <w:b/>
                <w:sz w:val="24"/>
                <w:szCs w:val="24"/>
              </w:rPr>
            </w:pPr>
            <w:r w:rsidRPr="00D72DB6">
              <w:rPr>
                <w:rFonts w:ascii="Times New Roman" w:hAnsi="Times New Roman"/>
                <w:b/>
                <w:sz w:val="24"/>
                <w:szCs w:val="24"/>
              </w:rPr>
              <w:t>4</w:t>
            </w:r>
          </w:p>
        </w:tc>
      </w:tr>
      <w:tr w:rsidR="00D72DB6" w:rsidRPr="00D72DB6" w:rsidTr="00D72DB6">
        <w:trPr>
          <w:cnfStyle w:val="000000100000"/>
        </w:trPr>
        <w:tc>
          <w:tcPr>
            <w:cnfStyle w:val="001000000000"/>
            <w:tcW w:w="4523" w:type="dxa"/>
            <w:tcBorders>
              <w:right w:val="single" w:sz="4" w:space="0" w:color="8EAADB" w:themeColor="accent5" w:themeTint="99"/>
            </w:tcBorders>
            <w:hideMark/>
          </w:tcPr>
          <w:p w:rsidR="00D72DB6" w:rsidRPr="00D72DB6" w:rsidRDefault="00D72DB6">
            <w:pPr>
              <w:spacing w:after="0" w:line="360" w:lineRule="auto"/>
              <w:jc w:val="both"/>
              <w:rPr>
                <w:rFonts w:ascii="Times New Roman" w:hAnsi="Times New Roman"/>
                <w:b/>
                <w:sz w:val="24"/>
                <w:szCs w:val="24"/>
              </w:rPr>
            </w:pPr>
            <w:r w:rsidRPr="00D72DB6">
              <w:rPr>
                <w:rFonts w:ascii="Times New Roman" w:hAnsi="Times New Roman"/>
                <w:b/>
                <w:sz w:val="24"/>
                <w:szCs w:val="24"/>
              </w:rPr>
              <w:t>Pranim të pjesshëm padie</w:t>
            </w:r>
          </w:p>
        </w:tc>
        <w:tc>
          <w:tcPr>
            <w:tcW w:w="4498"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D72DB6" w:rsidRPr="00D72DB6" w:rsidRDefault="00D72DB6">
            <w:pPr>
              <w:spacing w:after="0" w:line="360" w:lineRule="auto"/>
              <w:jc w:val="both"/>
              <w:cnfStyle w:val="000000100000"/>
              <w:rPr>
                <w:rFonts w:ascii="Times New Roman" w:hAnsi="Times New Roman"/>
                <w:b/>
                <w:sz w:val="24"/>
                <w:szCs w:val="24"/>
              </w:rPr>
            </w:pPr>
            <w:r w:rsidRPr="00D72DB6">
              <w:rPr>
                <w:rFonts w:ascii="Times New Roman" w:hAnsi="Times New Roman"/>
                <w:b/>
                <w:sz w:val="24"/>
                <w:szCs w:val="24"/>
              </w:rPr>
              <w:t>1</w:t>
            </w:r>
          </w:p>
        </w:tc>
      </w:tr>
      <w:tr w:rsidR="00D72DB6" w:rsidRPr="00D72DB6" w:rsidTr="00D72DB6">
        <w:tc>
          <w:tcPr>
            <w:cnfStyle w:val="001000000000"/>
            <w:tcW w:w="4523" w:type="dxa"/>
            <w:tcBorders>
              <w:right w:val="single" w:sz="4" w:space="0" w:color="8EAADB" w:themeColor="accent5" w:themeTint="99"/>
            </w:tcBorders>
            <w:hideMark/>
          </w:tcPr>
          <w:p w:rsidR="00D72DB6" w:rsidRPr="00D72DB6" w:rsidRDefault="00D72DB6">
            <w:pPr>
              <w:spacing w:after="0" w:line="360" w:lineRule="auto"/>
              <w:jc w:val="both"/>
              <w:rPr>
                <w:rFonts w:ascii="Times New Roman" w:hAnsi="Times New Roman"/>
                <w:b/>
                <w:sz w:val="24"/>
                <w:szCs w:val="24"/>
              </w:rPr>
            </w:pPr>
            <w:r w:rsidRPr="00D72DB6">
              <w:rPr>
                <w:rFonts w:ascii="Times New Roman" w:hAnsi="Times New Roman"/>
                <w:b/>
                <w:sz w:val="24"/>
                <w:szCs w:val="24"/>
              </w:rPr>
              <w:t>Pushim të procesit gjyqësor</w:t>
            </w:r>
          </w:p>
        </w:tc>
        <w:tc>
          <w:tcPr>
            <w:tcW w:w="4498"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D72DB6" w:rsidRPr="00D72DB6" w:rsidRDefault="00D72DB6">
            <w:pPr>
              <w:spacing w:after="0" w:line="360" w:lineRule="auto"/>
              <w:jc w:val="both"/>
              <w:cnfStyle w:val="000000000000"/>
              <w:rPr>
                <w:rFonts w:ascii="Times New Roman" w:hAnsi="Times New Roman"/>
                <w:b/>
                <w:sz w:val="24"/>
                <w:szCs w:val="24"/>
              </w:rPr>
            </w:pPr>
            <w:r w:rsidRPr="00D72DB6">
              <w:rPr>
                <w:rFonts w:ascii="Times New Roman" w:hAnsi="Times New Roman"/>
                <w:b/>
                <w:sz w:val="24"/>
                <w:szCs w:val="24"/>
              </w:rPr>
              <w:t>5</w:t>
            </w:r>
          </w:p>
        </w:tc>
      </w:tr>
      <w:tr w:rsidR="00D72DB6" w:rsidRPr="00D72DB6" w:rsidTr="00D72DB6">
        <w:trPr>
          <w:cnfStyle w:val="000000100000"/>
          <w:trHeight w:val="70"/>
        </w:trPr>
        <w:tc>
          <w:tcPr>
            <w:cnfStyle w:val="001000000000"/>
            <w:tcW w:w="4523" w:type="dxa"/>
            <w:tcBorders>
              <w:right w:val="single" w:sz="4" w:space="0" w:color="8EAADB" w:themeColor="accent5" w:themeTint="99"/>
            </w:tcBorders>
            <w:hideMark/>
          </w:tcPr>
          <w:p w:rsidR="00D72DB6" w:rsidRPr="00D72DB6" w:rsidRDefault="00D72DB6">
            <w:pPr>
              <w:spacing w:after="0" w:line="360" w:lineRule="auto"/>
              <w:jc w:val="both"/>
              <w:rPr>
                <w:rFonts w:ascii="Times New Roman" w:hAnsi="Times New Roman"/>
                <w:b/>
                <w:sz w:val="24"/>
                <w:szCs w:val="24"/>
              </w:rPr>
            </w:pPr>
            <w:r w:rsidRPr="00D72DB6">
              <w:rPr>
                <w:rFonts w:ascii="Times New Roman" w:hAnsi="Times New Roman"/>
                <w:b/>
                <w:sz w:val="24"/>
                <w:szCs w:val="24"/>
              </w:rPr>
              <w:t>Revokim padie</w:t>
            </w:r>
          </w:p>
        </w:tc>
        <w:tc>
          <w:tcPr>
            <w:tcW w:w="4498"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D72DB6" w:rsidRPr="00D72DB6" w:rsidRDefault="00D72DB6">
            <w:pPr>
              <w:spacing w:after="0" w:line="360" w:lineRule="auto"/>
              <w:jc w:val="both"/>
              <w:cnfStyle w:val="000000100000"/>
              <w:rPr>
                <w:rFonts w:ascii="Times New Roman" w:hAnsi="Times New Roman"/>
                <w:b/>
                <w:sz w:val="24"/>
                <w:szCs w:val="24"/>
              </w:rPr>
            </w:pPr>
            <w:r w:rsidRPr="00D72DB6">
              <w:rPr>
                <w:rFonts w:ascii="Times New Roman" w:hAnsi="Times New Roman"/>
                <w:b/>
                <w:sz w:val="24"/>
                <w:szCs w:val="24"/>
              </w:rPr>
              <w:t>1</w:t>
            </w:r>
          </w:p>
        </w:tc>
      </w:tr>
    </w:tbl>
    <w:p w:rsidR="00D72DB6" w:rsidRPr="00D72DB6" w:rsidRDefault="00D72DB6" w:rsidP="00D72DB6">
      <w:pPr>
        <w:spacing w:line="360" w:lineRule="auto"/>
        <w:jc w:val="both"/>
        <w:rPr>
          <w:rFonts w:ascii="Times New Roman" w:hAnsi="Times New Roman"/>
          <w:sz w:val="24"/>
          <w:szCs w:val="24"/>
        </w:rPr>
      </w:pPr>
    </w:p>
    <w:p w:rsidR="00D72DB6" w:rsidRPr="00D72DB6" w:rsidRDefault="00D72DB6" w:rsidP="00D72DB6">
      <w:pPr>
        <w:spacing w:line="360" w:lineRule="auto"/>
        <w:jc w:val="both"/>
        <w:rPr>
          <w:rFonts w:ascii="Times New Roman" w:hAnsi="Times New Roman"/>
          <w:b/>
          <w:sz w:val="24"/>
          <w:szCs w:val="24"/>
        </w:rPr>
      </w:pPr>
      <w:r w:rsidRPr="00D72DB6">
        <w:rPr>
          <w:rFonts w:ascii="Times New Roman" w:hAnsi="Times New Roman"/>
          <w:sz w:val="24"/>
          <w:szCs w:val="24"/>
        </w:rPr>
        <w:t>Komisioneri për vitin 2017 në respektim të ligjit nr. 9887/2008 “Për mbrojtjen e të dhënave personale”, i ndryshuar, është shprehur</w:t>
      </w:r>
      <w:r w:rsidRPr="00D72DB6">
        <w:rPr>
          <w:rFonts w:ascii="Times New Roman" w:hAnsi="Times New Roman"/>
          <w:b/>
          <w:sz w:val="24"/>
          <w:szCs w:val="24"/>
        </w:rPr>
        <w:t xml:space="preserve"> me 22 vendime. </w:t>
      </w:r>
    </w:p>
    <w:p w:rsidR="00D72DB6" w:rsidRPr="00D72DB6" w:rsidRDefault="00D72DB6" w:rsidP="00D72DB6">
      <w:pPr>
        <w:spacing w:line="360" w:lineRule="auto"/>
        <w:jc w:val="both"/>
        <w:rPr>
          <w:rFonts w:ascii="Times New Roman" w:hAnsi="Times New Roman"/>
          <w:sz w:val="24"/>
          <w:szCs w:val="24"/>
        </w:rPr>
      </w:pPr>
      <w:r w:rsidRPr="00D72DB6">
        <w:rPr>
          <w:rFonts w:ascii="Times New Roman" w:hAnsi="Times New Roman"/>
          <w:sz w:val="24"/>
          <w:szCs w:val="24"/>
        </w:rPr>
        <w:t xml:space="preserve">Nga këto 22 vendime, për </w:t>
      </w:r>
      <w:r w:rsidRPr="00D72DB6">
        <w:rPr>
          <w:rFonts w:ascii="Times New Roman" w:hAnsi="Times New Roman"/>
          <w:b/>
          <w:sz w:val="24"/>
          <w:szCs w:val="24"/>
        </w:rPr>
        <w:t>11 vendime</w:t>
      </w:r>
      <w:r w:rsidRPr="00D72DB6">
        <w:rPr>
          <w:rFonts w:ascii="Times New Roman" w:hAnsi="Times New Roman"/>
          <w:sz w:val="24"/>
          <w:szCs w:val="24"/>
        </w:rPr>
        <w:t xml:space="preserve">, subjektet përkatëse kanë ekzekutuar vullnetarisht sanksionet administrative. Për </w:t>
      </w:r>
      <w:r w:rsidRPr="00D72DB6">
        <w:rPr>
          <w:rFonts w:ascii="Times New Roman" w:hAnsi="Times New Roman"/>
          <w:b/>
          <w:sz w:val="24"/>
          <w:szCs w:val="24"/>
        </w:rPr>
        <w:t>9</w:t>
      </w:r>
      <w:r w:rsidRPr="00D72DB6">
        <w:rPr>
          <w:rFonts w:ascii="Times New Roman" w:hAnsi="Times New Roman"/>
          <w:sz w:val="24"/>
          <w:szCs w:val="24"/>
        </w:rPr>
        <w:t xml:space="preserve"> vendime të pa ankimuara, Zyra e Komisionerit ka kërkuar ekzekutimin përmbarimor. Ndërsa për </w:t>
      </w:r>
      <w:r w:rsidRPr="00D72DB6">
        <w:rPr>
          <w:rFonts w:ascii="Times New Roman" w:hAnsi="Times New Roman"/>
          <w:b/>
          <w:sz w:val="24"/>
          <w:szCs w:val="24"/>
        </w:rPr>
        <w:t xml:space="preserve">3 vendime, </w:t>
      </w:r>
      <w:r w:rsidRPr="00D72DB6">
        <w:rPr>
          <w:rFonts w:ascii="Times New Roman" w:hAnsi="Times New Roman"/>
          <w:sz w:val="24"/>
          <w:szCs w:val="24"/>
        </w:rPr>
        <w:t>kontrolluesit</w:t>
      </w:r>
      <w:r w:rsidRPr="00D72DB6">
        <w:rPr>
          <w:rFonts w:ascii="Times New Roman" w:hAnsi="Times New Roman"/>
          <w:b/>
          <w:sz w:val="24"/>
          <w:szCs w:val="24"/>
        </w:rPr>
        <w:t xml:space="preserve"> </w:t>
      </w:r>
      <w:r w:rsidRPr="00D72DB6">
        <w:rPr>
          <w:rFonts w:ascii="Times New Roman" w:hAnsi="Times New Roman"/>
          <w:sz w:val="24"/>
          <w:szCs w:val="24"/>
        </w:rPr>
        <w:t>përkatës</w:t>
      </w:r>
      <w:r w:rsidRPr="00D72DB6">
        <w:rPr>
          <w:rFonts w:ascii="Times New Roman" w:hAnsi="Times New Roman"/>
          <w:b/>
          <w:sz w:val="24"/>
          <w:szCs w:val="24"/>
        </w:rPr>
        <w:t xml:space="preserve"> </w:t>
      </w:r>
      <w:r w:rsidRPr="00D72DB6">
        <w:rPr>
          <w:rFonts w:ascii="Times New Roman" w:hAnsi="Times New Roman"/>
          <w:sz w:val="24"/>
          <w:szCs w:val="24"/>
        </w:rPr>
        <w:t xml:space="preserve">kanë ngritur padi në gjykatë për të cilat është ndjekur procesi gjyqësor administrativ. Pas përfundimit të proceseve </w:t>
      </w:r>
      <w:r w:rsidRPr="00D72DB6">
        <w:rPr>
          <w:rFonts w:ascii="Times New Roman" w:hAnsi="Times New Roman"/>
          <w:sz w:val="24"/>
          <w:szCs w:val="24"/>
        </w:rPr>
        <w:lastRenderedPageBreak/>
        <w:t xml:space="preserve">gjyqësore, gjykata ka vendosur lënien në fuqi të vendimeve të Komisionerit dhe është vijuar me kërkesën për ekzekutim të detyrueshëm nga Zyra e Përmbarimore. </w:t>
      </w:r>
    </w:p>
    <w:p w:rsidR="00D72DB6" w:rsidRPr="00D72DB6" w:rsidRDefault="00D72DB6" w:rsidP="00D72DB6">
      <w:pPr>
        <w:spacing w:after="0" w:line="360" w:lineRule="auto"/>
        <w:jc w:val="both"/>
        <w:rPr>
          <w:rFonts w:ascii="Times New Roman" w:hAnsi="Times New Roman"/>
          <w:sz w:val="24"/>
          <w:szCs w:val="24"/>
        </w:rPr>
      </w:pPr>
    </w:p>
    <w:tbl>
      <w:tblPr>
        <w:tblStyle w:val="GridTable3Accent5"/>
        <w:tblW w:w="0" w:type="auto"/>
        <w:tblInd w:w="0" w:type="dxa"/>
        <w:tblLook w:val="04A0"/>
      </w:tblPr>
      <w:tblGrid>
        <w:gridCol w:w="4508"/>
        <w:gridCol w:w="4470"/>
      </w:tblGrid>
      <w:tr w:rsidR="00D72DB6" w:rsidRPr="00D72DB6" w:rsidTr="00D72DB6">
        <w:trPr>
          <w:cnfStyle w:val="100000000000"/>
          <w:trHeight w:val="425"/>
        </w:trPr>
        <w:tc>
          <w:tcPr>
            <w:cnfStyle w:val="001000000100"/>
            <w:tcW w:w="8978" w:type="dxa"/>
            <w:gridSpan w:val="2"/>
            <w:hideMark/>
          </w:tcPr>
          <w:p w:rsidR="00D72DB6" w:rsidRPr="00D72DB6" w:rsidRDefault="00D72DB6">
            <w:pPr>
              <w:spacing w:after="0" w:line="360" w:lineRule="auto"/>
              <w:jc w:val="center"/>
              <w:rPr>
                <w:rFonts w:ascii="Times New Roman" w:hAnsi="Times New Roman"/>
                <w:b w:val="0"/>
                <w:color w:val="0070C0"/>
                <w:sz w:val="24"/>
                <w:szCs w:val="24"/>
              </w:rPr>
            </w:pPr>
            <w:r w:rsidRPr="00D72DB6">
              <w:rPr>
                <w:rFonts w:ascii="Times New Roman" w:hAnsi="Times New Roman"/>
                <w:b w:val="0"/>
                <w:color w:val="0070C0"/>
                <w:sz w:val="24"/>
                <w:szCs w:val="24"/>
              </w:rPr>
              <w:t>MBROJTJA E TË DHËNAVE PERSONALE</w:t>
            </w:r>
          </w:p>
        </w:tc>
      </w:tr>
      <w:tr w:rsidR="00D72DB6" w:rsidRPr="00D72DB6" w:rsidTr="00D72DB6">
        <w:trPr>
          <w:cnfStyle w:val="000000100000"/>
          <w:trHeight w:val="414"/>
        </w:trPr>
        <w:tc>
          <w:tcPr>
            <w:cnfStyle w:val="001000000000"/>
            <w:tcW w:w="4508" w:type="dxa"/>
            <w:tcBorders>
              <w:right w:val="single" w:sz="4" w:space="0" w:color="8EAADB" w:themeColor="accent5" w:themeTint="99"/>
            </w:tcBorders>
            <w:hideMark/>
          </w:tcPr>
          <w:p w:rsidR="00D72DB6" w:rsidRPr="00D72DB6" w:rsidRDefault="00D72DB6">
            <w:pPr>
              <w:spacing w:after="0" w:line="360" w:lineRule="auto"/>
              <w:jc w:val="both"/>
              <w:rPr>
                <w:rFonts w:ascii="Times New Roman" w:hAnsi="Times New Roman"/>
                <w:b/>
                <w:color w:val="2E74B5" w:themeColor="accent1" w:themeShade="BF"/>
                <w:sz w:val="24"/>
                <w:szCs w:val="24"/>
              </w:rPr>
            </w:pPr>
            <w:r w:rsidRPr="00D72DB6">
              <w:rPr>
                <w:rFonts w:ascii="Times New Roman" w:hAnsi="Times New Roman"/>
                <w:b/>
                <w:color w:val="2E74B5" w:themeColor="accent1" w:themeShade="BF"/>
                <w:sz w:val="24"/>
                <w:szCs w:val="24"/>
              </w:rPr>
              <w:t>Viti</w:t>
            </w:r>
          </w:p>
        </w:tc>
        <w:tc>
          <w:tcPr>
            <w:tcW w:w="447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D72DB6" w:rsidRPr="00D72DB6" w:rsidRDefault="00D72DB6">
            <w:pPr>
              <w:spacing w:after="0" w:line="360" w:lineRule="auto"/>
              <w:jc w:val="both"/>
              <w:cnfStyle w:val="000000100000"/>
              <w:rPr>
                <w:rFonts w:ascii="Times New Roman" w:hAnsi="Times New Roman"/>
                <w:b/>
                <w:color w:val="2E74B5" w:themeColor="accent1" w:themeShade="BF"/>
                <w:sz w:val="24"/>
                <w:szCs w:val="24"/>
              </w:rPr>
            </w:pPr>
            <w:r w:rsidRPr="00D72DB6">
              <w:rPr>
                <w:rFonts w:ascii="Times New Roman" w:hAnsi="Times New Roman"/>
                <w:b/>
                <w:color w:val="2E74B5" w:themeColor="accent1" w:themeShade="BF"/>
                <w:sz w:val="24"/>
                <w:szCs w:val="24"/>
              </w:rPr>
              <w:t>2017</w:t>
            </w:r>
          </w:p>
        </w:tc>
      </w:tr>
      <w:tr w:rsidR="00D72DB6" w:rsidRPr="00D72DB6" w:rsidTr="00D72DB6">
        <w:trPr>
          <w:trHeight w:val="425"/>
        </w:trPr>
        <w:tc>
          <w:tcPr>
            <w:cnfStyle w:val="001000000000"/>
            <w:tcW w:w="4508" w:type="dxa"/>
            <w:tcBorders>
              <w:right w:val="single" w:sz="4" w:space="0" w:color="8EAADB" w:themeColor="accent5" w:themeTint="99"/>
            </w:tcBorders>
            <w:hideMark/>
          </w:tcPr>
          <w:p w:rsidR="00D72DB6" w:rsidRPr="00D72DB6" w:rsidRDefault="00D72DB6">
            <w:pPr>
              <w:spacing w:after="0" w:line="360" w:lineRule="auto"/>
              <w:jc w:val="both"/>
              <w:rPr>
                <w:rFonts w:ascii="Times New Roman" w:hAnsi="Times New Roman"/>
                <w:b/>
                <w:sz w:val="24"/>
                <w:szCs w:val="24"/>
              </w:rPr>
            </w:pPr>
            <w:r w:rsidRPr="00D72DB6">
              <w:rPr>
                <w:rFonts w:ascii="Times New Roman" w:hAnsi="Times New Roman"/>
                <w:b/>
                <w:sz w:val="24"/>
                <w:szCs w:val="24"/>
              </w:rPr>
              <w:t>Vendime</w:t>
            </w:r>
          </w:p>
        </w:tc>
        <w:tc>
          <w:tcPr>
            <w:tcW w:w="447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vAlign w:val="center"/>
            <w:hideMark/>
          </w:tcPr>
          <w:p w:rsidR="00D72DB6" w:rsidRPr="00D72DB6" w:rsidRDefault="00D72DB6">
            <w:pPr>
              <w:spacing w:after="0" w:line="360" w:lineRule="auto"/>
              <w:cnfStyle w:val="000000000000"/>
              <w:rPr>
                <w:rFonts w:ascii="Times New Roman" w:hAnsi="Times New Roman"/>
                <w:b/>
                <w:sz w:val="24"/>
                <w:szCs w:val="24"/>
              </w:rPr>
            </w:pPr>
            <w:r w:rsidRPr="00D72DB6">
              <w:rPr>
                <w:rFonts w:ascii="Times New Roman" w:hAnsi="Times New Roman"/>
                <w:b/>
                <w:sz w:val="24"/>
                <w:szCs w:val="24"/>
              </w:rPr>
              <w:t>22</w:t>
            </w:r>
          </w:p>
        </w:tc>
      </w:tr>
      <w:tr w:rsidR="00D72DB6" w:rsidRPr="00D72DB6" w:rsidTr="00D72DB6">
        <w:trPr>
          <w:cnfStyle w:val="000000100000"/>
          <w:trHeight w:val="414"/>
        </w:trPr>
        <w:tc>
          <w:tcPr>
            <w:cnfStyle w:val="001000000000"/>
            <w:tcW w:w="4508" w:type="dxa"/>
            <w:tcBorders>
              <w:right w:val="single" w:sz="4" w:space="0" w:color="8EAADB" w:themeColor="accent5" w:themeTint="99"/>
            </w:tcBorders>
            <w:hideMark/>
          </w:tcPr>
          <w:p w:rsidR="00D72DB6" w:rsidRPr="00D72DB6" w:rsidRDefault="00D72DB6">
            <w:pPr>
              <w:spacing w:after="0" w:line="360" w:lineRule="auto"/>
              <w:jc w:val="both"/>
              <w:rPr>
                <w:rFonts w:ascii="Times New Roman" w:hAnsi="Times New Roman"/>
                <w:b/>
                <w:sz w:val="24"/>
                <w:szCs w:val="24"/>
              </w:rPr>
            </w:pPr>
            <w:r w:rsidRPr="00D72DB6">
              <w:rPr>
                <w:rFonts w:ascii="Times New Roman" w:hAnsi="Times New Roman"/>
                <w:b/>
                <w:sz w:val="24"/>
                <w:szCs w:val="24"/>
              </w:rPr>
              <w:t xml:space="preserve">Sanksione administrative     </w:t>
            </w:r>
          </w:p>
        </w:tc>
        <w:tc>
          <w:tcPr>
            <w:tcW w:w="447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vAlign w:val="center"/>
            <w:hideMark/>
          </w:tcPr>
          <w:p w:rsidR="00D72DB6" w:rsidRPr="00D72DB6" w:rsidRDefault="00D72DB6">
            <w:pPr>
              <w:spacing w:after="0" w:line="360" w:lineRule="auto"/>
              <w:cnfStyle w:val="000000100000"/>
              <w:rPr>
                <w:rFonts w:ascii="Times New Roman" w:hAnsi="Times New Roman"/>
                <w:b/>
                <w:sz w:val="24"/>
                <w:szCs w:val="24"/>
              </w:rPr>
            </w:pPr>
            <w:r w:rsidRPr="00D72DB6">
              <w:rPr>
                <w:rFonts w:ascii="Times New Roman" w:hAnsi="Times New Roman"/>
                <w:b/>
                <w:sz w:val="24"/>
                <w:szCs w:val="24"/>
              </w:rPr>
              <w:t>36</w:t>
            </w:r>
          </w:p>
        </w:tc>
      </w:tr>
      <w:tr w:rsidR="00D72DB6" w:rsidRPr="00D72DB6" w:rsidTr="00D72DB6">
        <w:trPr>
          <w:trHeight w:val="425"/>
        </w:trPr>
        <w:tc>
          <w:tcPr>
            <w:cnfStyle w:val="001000000000"/>
            <w:tcW w:w="4508" w:type="dxa"/>
            <w:tcBorders>
              <w:right w:val="single" w:sz="4" w:space="0" w:color="8EAADB" w:themeColor="accent5" w:themeTint="99"/>
            </w:tcBorders>
            <w:hideMark/>
          </w:tcPr>
          <w:p w:rsidR="00D72DB6" w:rsidRPr="00D72DB6" w:rsidRDefault="00D72DB6">
            <w:pPr>
              <w:spacing w:after="0" w:line="360" w:lineRule="auto"/>
              <w:jc w:val="both"/>
              <w:rPr>
                <w:rFonts w:ascii="Times New Roman" w:hAnsi="Times New Roman"/>
                <w:b/>
                <w:sz w:val="24"/>
                <w:szCs w:val="24"/>
              </w:rPr>
            </w:pPr>
            <w:r w:rsidRPr="00D72DB6">
              <w:rPr>
                <w:rFonts w:ascii="Times New Roman" w:hAnsi="Times New Roman"/>
                <w:b/>
                <w:sz w:val="24"/>
                <w:szCs w:val="24"/>
              </w:rPr>
              <w:t xml:space="preserve">Procese Gjyqësore         </w:t>
            </w:r>
          </w:p>
        </w:tc>
        <w:tc>
          <w:tcPr>
            <w:tcW w:w="447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vAlign w:val="center"/>
            <w:hideMark/>
          </w:tcPr>
          <w:p w:rsidR="00D72DB6" w:rsidRPr="00D72DB6" w:rsidRDefault="00D72DB6">
            <w:pPr>
              <w:spacing w:after="0" w:line="360" w:lineRule="auto"/>
              <w:cnfStyle w:val="000000000000"/>
              <w:rPr>
                <w:rFonts w:ascii="Times New Roman" w:hAnsi="Times New Roman"/>
                <w:b/>
                <w:sz w:val="24"/>
                <w:szCs w:val="24"/>
              </w:rPr>
            </w:pPr>
            <w:r w:rsidRPr="00D72DB6">
              <w:rPr>
                <w:rFonts w:ascii="Times New Roman" w:hAnsi="Times New Roman"/>
                <w:b/>
                <w:sz w:val="24"/>
                <w:szCs w:val="24"/>
              </w:rPr>
              <w:t>3</w:t>
            </w:r>
          </w:p>
        </w:tc>
      </w:tr>
      <w:tr w:rsidR="00D72DB6" w:rsidRPr="00D72DB6" w:rsidTr="00D72DB6">
        <w:trPr>
          <w:cnfStyle w:val="000000100000"/>
          <w:trHeight w:val="414"/>
        </w:trPr>
        <w:tc>
          <w:tcPr>
            <w:cnfStyle w:val="001000000000"/>
            <w:tcW w:w="4508" w:type="dxa"/>
            <w:tcBorders>
              <w:right w:val="single" w:sz="4" w:space="0" w:color="8EAADB" w:themeColor="accent5" w:themeTint="99"/>
            </w:tcBorders>
            <w:hideMark/>
          </w:tcPr>
          <w:p w:rsidR="00D72DB6" w:rsidRPr="00D72DB6" w:rsidRDefault="00D72DB6">
            <w:pPr>
              <w:spacing w:after="0" w:line="360" w:lineRule="auto"/>
              <w:jc w:val="both"/>
              <w:rPr>
                <w:rFonts w:ascii="Times New Roman" w:hAnsi="Times New Roman"/>
                <w:b/>
                <w:sz w:val="24"/>
                <w:szCs w:val="24"/>
              </w:rPr>
            </w:pPr>
            <w:r w:rsidRPr="00D72DB6">
              <w:rPr>
                <w:rFonts w:ascii="Times New Roman" w:hAnsi="Times New Roman"/>
                <w:b/>
                <w:sz w:val="24"/>
                <w:szCs w:val="24"/>
              </w:rPr>
              <w:t xml:space="preserve">Ekzekutime vullnetare  </w:t>
            </w:r>
          </w:p>
        </w:tc>
        <w:tc>
          <w:tcPr>
            <w:tcW w:w="447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vAlign w:val="center"/>
            <w:hideMark/>
          </w:tcPr>
          <w:p w:rsidR="00D72DB6" w:rsidRPr="00D72DB6" w:rsidRDefault="00D72DB6">
            <w:pPr>
              <w:spacing w:after="0" w:line="360" w:lineRule="auto"/>
              <w:cnfStyle w:val="000000100000"/>
              <w:rPr>
                <w:rFonts w:ascii="Times New Roman" w:hAnsi="Times New Roman"/>
                <w:b/>
                <w:sz w:val="24"/>
                <w:szCs w:val="24"/>
              </w:rPr>
            </w:pPr>
            <w:r w:rsidRPr="00D72DB6">
              <w:rPr>
                <w:rFonts w:ascii="Times New Roman" w:hAnsi="Times New Roman"/>
                <w:b/>
                <w:sz w:val="24"/>
                <w:szCs w:val="24"/>
              </w:rPr>
              <w:t>11</w:t>
            </w:r>
          </w:p>
        </w:tc>
      </w:tr>
      <w:tr w:rsidR="00D72DB6" w:rsidRPr="00D72DB6" w:rsidTr="00D72DB6">
        <w:trPr>
          <w:trHeight w:val="395"/>
        </w:trPr>
        <w:tc>
          <w:tcPr>
            <w:cnfStyle w:val="001000000000"/>
            <w:tcW w:w="4508" w:type="dxa"/>
            <w:tcBorders>
              <w:right w:val="single" w:sz="4" w:space="0" w:color="8EAADB" w:themeColor="accent5" w:themeTint="99"/>
            </w:tcBorders>
            <w:hideMark/>
          </w:tcPr>
          <w:p w:rsidR="00D72DB6" w:rsidRPr="00D72DB6" w:rsidRDefault="00D72DB6">
            <w:pPr>
              <w:spacing w:after="0" w:line="360" w:lineRule="auto"/>
              <w:jc w:val="both"/>
              <w:rPr>
                <w:rFonts w:ascii="Times New Roman" w:hAnsi="Times New Roman"/>
                <w:b/>
                <w:sz w:val="24"/>
                <w:szCs w:val="24"/>
              </w:rPr>
            </w:pPr>
            <w:r w:rsidRPr="00D72DB6">
              <w:rPr>
                <w:rFonts w:ascii="Times New Roman" w:hAnsi="Times New Roman"/>
                <w:b/>
                <w:sz w:val="24"/>
                <w:szCs w:val="24"/>
              </w:rPr>
              <w:t>Kërkesë për ekzekutime përmbarimore</w:t>
            </w:r>
          </w:p>
        </w:tc>
        <w:tc>
          <w:tcPr>
            <w:tcW w:w="4470"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vAlign w:val="center"/>
            <w:hideMark/>
          </w:tcPr>
          <w:p w:rsidR="00D72DB6" w:rsidRPr="00D72DB6" w:rsidRDefault="00D72DB6">
            <w:pPr>
              <w:spacing w:after="0" w:line="360" w:lineRule="auto"/>
              <w:cnfStyle w:val="000000000000"/>
              <w:rPr>
                <w:rFonts w:ascii="Times New Roman" w:hAnsi="Times New Roman"/>
                <w:b/>
                <w:sz w:val="24"/>
                <w:szCs w:val="24"/>
              </w:rPr>
            </w:pPr>
            <w:r w:rsidRPr="00D72DB6">
              <w:rPr>
                <w:rFonts w:ascii="Times New Roman" w:hAnsi="Times New Roman"/>
                <w:b/>
                <w:sz w:val="24"/>
                <w:szCs w:val="24"/>
              </w:rPr>
              <w:t>11</w:t>
            </w:r>
          </w:p>
        </w:tc>
      </w:tr>
    </w:tbl>
    <w:p w:rsidR="00D72DB6" w:rsidRPr="00D72DB6" w:rsidRDefault="00D72DB6" w:rsidP="00D72DB6">
      <w:pPr>
        <w:spacing w:line="360" w:lineRule="auto"/>
        <w:jc w:val="both"/>
        <w:rPr>
          <w:rFonts w:ascii="Times New Roman" w:hAnsi="Times New Roman"/>
          <w:sz w:val="24"/>
          <w:szCs w:val="24"/>
        </w:rPr>
      </w:pPr>
    </w:p>
    <w:p w:rsidR="00D72DB6" w:rsidRPr="00D72DB6" w:rsidRDefault="00D72DB6" w:rsidP="00D72DB6">
      <w:pPr>
        <w:spacing w:after="0" w:line="360" w:lineRule="auto"/>
        <w:jc w:val="both"/>
        <w:rPr>
          <w:rFonts w:ascii="Times New Roman" w:eastAsia="MS Mincho" w:hAnsi="Times New Roman"/>
          <w:sz w:val="24"/>
          <w:szCs w:val="24"/>
        </w:rPr>
      </w:pPr>
      <w:r w:rsidRPr="00D72DB6">
        <w:rPr>
          <w:rFonts w:ascii="Times New Roman" w:eastAsia="MS Mincho" w:hAnsi="Times New Roman"/>
          <w:sz w:val="24"/>
          <w:szCs w:val="24"/>
        </w:rPr>
        <w:t xml:space="preserve">Ndërsa për marrëdhëniet e punësimit, si pasojë e ristrukturimit të Zyrës së Komsionerit në vitin 2015,  janë ankimuar </w:t>
      </w:r>
      <w:r w:rsidRPr="00D72DB6">
        <w:rPr>
          <w:rFonts w:ascii="Times New Roman" w:eastAsia="MS Mincho" w:hAnsi="Times New Roman"/>
          <w:b/>
          <w:sz w:val="24"/>
          <w:szCs w:val="24"/>
        </w:rPr>
        <w:t>6</w:t>
      </w:r>
      <w:r w:rsidRPr="00D72DB6">
        <w:rPr>
          <w:rFonts w:ascii="Times New Roman" w:eastAsia="MS Mincho" w:hAnsi="Times New Roman"/>
          <w:sz w:val="24"/>
          <w:szCs w:val="24"/>
        </w:rPr>
        <w:t xml:space="preserve"> vendime, për të cilat janë ndjekur procedurat përkatëse në dy shkallët e gjykimit administrativ. Për </w:t>
      </w:r>
      <w:r w:rsidRPr="00D72DB6">
        <w:rPr>
          <w:rFonts w:ascii="Times New Roman" w:eastAsia="MS Mincho" w:hAnsi="Times New Roman"/>
          <w:b/>
          <w:sz w:val="24"/>
          <w:szCs w:val="24"/>
        </w:rPr>
        <w:t>5</w:t>
      </w:r>
      <w:r w:rsidRPr="00D72DB6">
        <w:rPr>
          <w:rFonts w:ascii="Times New Roman" w:eastAsia="MS Mincho" w:hAnsi="Times New Roman"/>
          <w:sz w:val="24"/>
          <w:szCs w:val="24"/>
        </w:rPr>
        <w:t xml:space="preserve"> çështje janë lënë në fuqi vendimet e Njësisë Përgjegjëse dhe për </w:t>
      </w:r>
      <w:r w:rsidRPr="00D72DB6">
        <w:rPr>
          <w:rFonts w:ascii="Times New Roman" w:eastAsia="MS Mincho" w:hAnsi="Times New Roman"/>
          <w:b/>
          <w:sz w:val="24"/>
          <w:szCs w:val="24"/>
        </w:rPr>
        <w:t>1</w:t>
      </w:r>
      <w:r w:rsidRPr="00D72DB6">
        <w:rPr>
          <w:rFonts w:ascii="Times New Roman" w:eastAsia="MS Mincho" w:hAnsi="Times New Roman"/>
          <w:sz w:val="24"/>
          <w:szCs w:val="24"/>
        </w:rPr>
        <w:t xml:space="preserve"> çështje vijon procesi</w:t>
      </w:r>
      <w:r w:rsidRPr="00D72DB6">
        <w:rPr>
          <w:rFonts w:ascii="Times New Roman" w:eastAsia="MS Mincho" w:hAnsi="Times New Roman"/>
          <w:b/>
          <w:sz w:val="24"/>
          <w:szCs w:val="24"/>
        </w:rPr>
        <w:t xml:space="preserve"> </w:t>
      </w:r>
      <w:r w:rsidRPr="00D72DB6">
        <w:rPr>
          <w:rFonts w:ascii="Times New Roman" w:eastAsia="MS Mincho" w:hAnsi="Times New Roman"/>
          <w:sz w:val="24"/>
          <w:szCs w:val="24"/>
        </w:rPr>
        <w:t xml:space="preserve">në Gjykatën Administrative të Apelit. Për asnjë rast nuk ka efekte financiare. </w:t>
      </w:r>
    </w:p>
    <w:p w:rsidR="00D72DB6" w:rsidRPr="00D72DB6" w:rsidRDefault="00D72DB6" w:rsidP="00D72DB6">
      <w:pPr>
        <w:spacing w:after="0" w:line="360" w:lineRule="auto"/>
        <w:jc w:val="both"/>
        <w:rPr>
          <w:rFonts w:ascii="Times New Roman" w:eastAsia="MS Mincho" w:hAnsi="Times New Roman"/>
          <w:sz w:val="24"/>
          <w:szCs w:val="24"/>
        </w:rPr>
      </w:pPr>
      <w:r w:rsidRPr="00D72DB6">
        <w:rPr>
          <w:rFonts w:ascii="Times New Roman" w:eastAsia="MS Mincho" w:hAnsi="Times New Roman"/>
          <w:sz w:val="24"/>
          <w:szCs w:val="24"/>
        </w:rPr>
        <w:t xml:space="preserve">Vijon ndjekja e ekzekutimit të vendimeve të Komisionerit dhe njëkohësisht edhe ndjekja e proceseve gjyqësore në Gjykatën Administrativ të Apelit, për çështje të ankimuara dhe mbartura nga vite të mëparshme. </w:t>
      </w:r>
    </w:p>
    <w:p w:rsidR="00D72DB6" w:rsidRPr="00D72DB6" w:rsidRDefault="00D72DB6" w:rsidP="00D72DB6">
      <w:pPr>
        <w:pStyle w:val="ListParagraph"/>
        <w:tabs>
          <w:tab w:val="left" w:pos="360"/>
        </w:tabs>
        <w:spacing w:after="0" w:line="360" w:lineRule="auto"/>
        <w:ind w:left="0"/>
        <w:jc w:val="both"/>
        <w:rPr>
          <w:rFonts w:ascii="Times New Roman" w:hAnsi="Times New Roman"/>
          <w:b/>
          <w:sz w:val="24"/>
          <w:szCs w:val="24"/>
        </w:rPr>
      </w:pPr>
    </w:p>
    <w:p w:rsidR="00D72DB6" w:rsidRPr="00D72DB6" w:rsidRDefault="00D72DB6" w:rsidP="00D72DB6">
      <w:pPr>
        <w:pStyle w:val="Heading2"/>
        <w:rPr>
          <w:rFonts w:ascii="Times New Roman" w:hAnsi="Times New Roman" w:cs="Times New Roman"/>
          <w:sz w:val="24"/>
          <w:szCs w:val="24"/>
        </w:rPr>
      </w:pPr>
      <w:bookmarkStart w:id="29" w:name="_Toc507424901"/>
      <w:r w:rsidRPr="00D72DB6">
        <w:rPr>
          <w:rFonts w:ascii="Times New Roman" w:hAnsi="Times New Roman" w:cs="Times New Roman"/>
          <w:sz w:val="24"/>
          <w:szCs w:val="24"/>
        </w:rPr>
        <w:t>4.6 Raportime</w:t>
      </w:r>
      <w:bookmarkEnd w:id="29"/>
      <w:r w:rsidRPr="00D72DB6">
        <w:rPr>
          <w:rFonts w:ascii="Times New Roman" w:hAnsi="Times New Roman" w:cs="Times New Roman"/>
          <w:sz w:val="24"/>
          <w:szCs w:val="24"/>
        </w:rPr>
        <w:t xml:space="preserve"> </w:t>
      </w:r>
    </w:p>
    <w:p w:rsidR="00D72DB6" w:rsidRPr="00D72DB6" w:rsidRDefault="00D72DB6" w:rsidP="00D72DB6">
      <w:pPr>
        <w:spacing w:before="240" w:line="360" w:lineRule="auto"/>
        <w:jc w:val="both"/>
        <w:rPr>
          <w:rFonts w:ascii="Times New Roman" w:hAnsi="Times New Roman"/>
          <w:sz w:val="24"/>
          <w:szCs w:val="24"/>
        </w:rPr>
      </w:pPr>
      <w:r w:rsidRPr="00D72DB6">
        <w:rPr>
          <w:rFonts w:ascii="Times New Roman" w:hAnsi="Times New Roman"/>
          <w:sz w:val="24"/>
          <w:szCs w:val="24"/>
        </w:rPr>
        <w:t xml:space="preserve">Në kuadër të përfshirjes së kontributit të Zyrës së Komisionerit dhe hartimit të raporteve janë përgatitur: </w:t>
      </w:r>
    </w:p>
    <w:p w:rsidR="00D72DB6" w:rsidRPr="00D72DB6" w:rsidRDefault="00D72DB6" w:rsidP="00D72DB6">
      <w:pPr>
        <w:pStyle w:val="ListParagraph"/>
        <w:numPr>
          <w:ilvl w:val="0"/>
          <w:numId w:val="12"/>
        </w:numPr>
        <w:snapToGrid w:val="0"/>
        <w:spacing w:after="120" w:line="360" w:lineRule="auto"/>
        <w:ind w:left="357" w:hanging="357"/>
        <w:jc w:val="both"/>
        <w:rPr>
          <w:rFonts w:ascii="Times New Roman" w:eastAsiaTheme="minorHAnsi" w:hAnsi="Times New Roman"/>
          <w:sz w:val="24"/>
          <w:szCs w:val="24"/>
        </w:rPr>
      </w:pPr>
      <w:r w:rsidRPr="00D72DB6">
        <w:rPr>
          <w:rFonts w:ascii="Times New Roman" w:hAnsi="Times New Roman"/>
          <w:color w:val="212121"/>
          <w:sz w:val="24"/>
          <w:szCs w:val="24"/>
        </w:rPr>
        <w:t xml:space="preserve">Raporti për Ministrinë e Integrimit Evropian lidhur me </w:t>
      </w:r>
      <w:r w:rsidRPr="00D72DB6">
        <w:rPr>
          <w:rFonts w:ascii="Times New Roman" w:hAnsi="Times New Roman"/>
          <w:sz w:val="24"/>
          <w:szCs w:val="24"/>
        </w:rPr>
        <w:t>Nënkomitetin IX në kuadër të Kapitullit 23 “Çështjet e Drejtësisë, Lirisë dhe Sigurisë”;</w:t>
      </w:r>
    </w:p>
    <w:p w:rsidR="00D72DB6" w:rsidRPr="00D72DB6" w:rsidRDefault="00D72DB6" w:rsidP="00D72DB6">
      <w:pPr>
        <w:pStyle w:val="ListParagraph"/>
        <w:numPr>
          <w:ilvl w:val="0"/>
          <w:numId w:val="12"/>
        </w:numPr>
        <w:snapToGrid w:val="0"/>
        <w:spacing w:after="120" w:line="360" w:lineRule="auto"/>
        <w:ind w:left="357" w:hanging="357"/>
        <w:jc w:val="both"/>
        <w:rPr>
          <w:rFonts w:ascii="Times New Roman" w:eastAsiaTheme="minorHAnsi" w:hAnsi="Times New Roman"/>
          <w:sz w:val="24"/>
          <w:szCs w:val="24"/>
        </w:rPr>
      </w:pPr>
      <w:r w:rsidRPr="00D72DB6">
        <w:rPr>
          <w:rFonts w:ascii="Times New Roman" w:hAnsi="Times New Roman"/>
          <w:color w:val="212121"/>
          <w:sz w:val="24"/>
          <w:szCs w:val="24"/>
        </w:rPr>
        <w:t xml:space="preserve">Raporti për </w:t>
      </w:r>
      <w:r w:rsidRPr="00D72DB6">
        <w:rPr>
          <w:rFonts w:ascii="Times New Roman" w:hAnsi="Times New Roman"/>
          <w:sz w:val="24"/>
          <w:szCs w:val="24"/>
        </w:rPr>
        <w:t>Ministrinë e Drejtësisë në kuadër të Planit Kombëtar dhe Rekomandimeve të lëna nga Raporti i Shtetit për vitin 2016;</w:t>
      </w:r>
    </w:p>
    <w:p w:rsidR="00D72DB6" w:rsidRPr="00D72DB6" w:rsidRDefault="00D72DB6" w:rsidP="00D72DB6">
      <w:pPr>
        <w:pStyle w:val="ListParagraph"/>
        <w:numPr>
          <w:ilvl w:val="0"/>
          <w:numId w:val="12"/>
        </w:numPr>
        <w:spacing w:after="120" w:line="360" w:lineRule="auto"/>
        <w:ind w:left="357" w:hanging="357"/>
        <w:jc w:val="both"/>
        <w:rPr>
          <w:rFonts w:ascii="Times New Roman" w:eastAsiaTheme="minorHAnsi" w:hAnsi="Times New Roman"/>
          <w:sz w:val="24"/>
          <w:szCs w:val="24"/>
        </w:rPr>
      </w:pPr>
      <w:r w:rsidRPr="00D72DB6">
        <w:rPr>
          <w:rFonts w:ascii="Times New Roman" w:hAnsi="Times New Roman"/>
          <w:sz w:val="24"/>
          <w:szCs w:val="24"/>
        </w:rPr>
        <w:t>Raporti për takimin e Grupit të Berlinit;</w:t>
      </w:r>
    </w:p>
    <w:p w:rsidR="00D72DB6" w:rsidRPr="00D72DB6" w:rsidRDefault="00D72DB6" w:rsidP="00D72DB6">
      <w:pPr>
        <w:pStyle w:val="ListParagraph"/>
        <w:numPr>
          <w:ilvl w:val="0"/>
          <w:numId w:val="12"/>
        </w:numPr>
        <w:autoSpaceDE w:val="0"/>
        <w:autoSpaceDN w:val="0"/>
        <w:spacing w:after="120" w:line="360" w:lineRule="auto"/>
        <w:ind w:left="357" w:hanging="357"/>
        <w:jc w:val="both"/>
        <w:rPr>
          <w:rFonts w:ascii="Times New Roman" w:hAnsi="Times New Roman"/>
          <w:color w:val="000000"/>
          <w:sz w:val="24"/>
          <w:szCs w:val="24"/>
        </w:rPr>
      </w:pPr>
      <w:r w:rsidRPr="00D72DB6">
        <w:rPr>
          <w:rFonts w:ascii="Times New Roman" w:hAnsi="Times New Roman"/>
          <w:color w:val="000000"/>
          <w:sz w:val="24"/>
          <w:szCs w:val="24"/>
        </w:rPr>
        <w:t>Raporti në kuadër të “Takimit të IX të Nënkomitetit për Drejtësinë, Lirinë dhe Sigurinë BE-Shqipëri” zhvilluar në datën 28 prill 2017 në Bruksel;</w:t>
      </w:r>
    </w:p>
    <w:p w:rsidR="00D72DB6" w:rsidRPr="00D72DB6" w:rsidRDefault="00D72DB6" w:rsidP="00D72DB6">
      <w:pPr>
        <w:pStyle w:val="ListParagraph"/>
        <w:numPr>
          <w:ilvl w:val="0"/>
          <w:numId w:val="12"/>
        </w:numPr>
        <w:spacing w:after="120" w:line="360" w:lineRule="auto"/>
        <w:ind w:left="357" w:hanging="357"/>
        <w:jc w:val="both"/>
        <w:rPr>
          <w:rFonts w:ascii="Times New Roman" w:eastAsiaTheme="minorHAnsi" w:hAnsi="Times New Roman"/>
          <w:sz w:val="24"/>
          <w:szCs w:val="24"/>
        </w:rPr>
      </w:pPr>
      <w:r w:rsidRPr="00D72DB6">
        <w:rPr>
          <w:rFonts w:ascii="Times New Roman" w:hAnsi="Times New Roman"/>
          <w:sz w:val="24"/>
          <w:szCs w:val="24"/>
        </w:rPr>
        <w:t xml:space="preserve">Raporti për hartimit të Planit të Veprimit për përmbushjen e kritereve të anëtarësimit, në Kapitullin 23 – Bashkëpunimi në Fushën e Gjyqësorit dhe të Drejtat Themelore, dhe është  </w:t>
      </w:r>
      <w:r w:rsidRPr="00D72DB6">
        <w:rPr>
          <w:rFonts w:ascii="Times New Roman" w:hAnsi="Times New Roman"/>
          <w:sz w:val="24"/>
          <w:szCs w:val="24"/>
        </w:rPr>
        <w:lastRenderedPageBreak/>
        <w:t>vijuar me takimet në Ministrinë e Drejtësisë, por njëkohësisht është raportuar periodikisht mbi punën e bërë për realizimin e objektivëve të përcaktuar në PKIE;</w:t>
      </w:r>
    </w:p>
    <w:p w:rsidR="00D72DB6" w:rsidRPr="00D72DB6" w:rsidRDefault="00D72DB6" w:rsidP="00D72DB6">
      <w:pPr>
        <w:pStyle w:val="ListParagraph"/>
        <w:numPr>
          <w:ilvl w:val="0"/>
          <w:numId w:val="12"/>
        </w:numPr>
        <w:spacing w:after="120" w:line="360" w:lineRule="auto"/>
        <w:ind w:left="357" w:hanging="357"/>
        <w:jc w:val="both"/>
        <w:rPr>
          <w:rFonts w:ascii="Times New Roman" w:eastAsiaTheme="minorHAnsi" w:hAnsi="Times New Roman"/>
          <w:sz w:val="24"/>
          <w:szCs w:val="24"/>
        </w:rPr>
      </w:pPr>
      <w:r w:rsidRPr="00D72DB6">
        <w:rPr>
          <w:rFonts w:ascii="Times New Roman" w:hAnsi="Times New Roman"/>
          <w:sz w:val="24"/>
          <w:szCs w:val="24"/>
        </w:rPr>
        <w:t>Raporti për takimin  e 7-të të Grupit të Posaçëm për Reformën në Administratën Publike;</w:t>
      </w:r>
    </w:p>
    <w:p w:rsidR="00D72DB6" w:rsidRPr="00D72DB6" w:rsidRDefault="00D72DB6" w:rsidP="00D72DB6">
      <w:pPr>
        <w:pStyle w:val="ListParagraph"/>
        <w:numPr>
          <w:ilvl w:val="0"/>
          <w:numId w:val="12"/>
        </w:numPr>
        <w:spacing w:after="120" w:line="360" w:lineRule="auto"/>
        <w:ind w:left="357" w:hanging="357"/>
        <w:jc w:val="both"/>
        <w:rPr>
          <w:rFonts w:ascii="Times New Roman" w:eastAsiaTheme="minorHAnsi" w:hAnsi="Times New Roman"/>
          <w:sz w:val="24"/>
          <w:szCs w:val="24"/>
        </w:rPr>
      </w:pPr>
      <w:r w:rsidRPr="00D72DB6">
        <w:rPr>
          <w:rFonts w:ascii="Times New Roman" w:hAnsi="Times New Roman"/>
          <w:sz w:val="24"/>
          <w:szCs w:val="24"/>
        </w:rPr>
        <w:t>Raporti i Ministrisë së Drejtësisë mbi Veprimtarinë e Zyrës së Komisionerit për periudhën 1 tetor - 30 nëntor 2017, për Raportin e Komisionit Evropian për Shqipërinë, për vitin 2018;</w:t>
      </w:r>
    </w:p>
    <w:p w:rsidR="00D72DB6" w:rsidRPr="00D72DB6" w:rsidRDefault="00D72DB6" w:rsidP="00D72DB6">
      <w:pPr>
        <w:pStyle w:val="ListParagraph"/>
        <w:numPr>
          <w:ilvl w:val="0"/>
          <w:numId w:val="12"/>
        </w:numPr>
        <w:snapToGrid w:val="0"/>
        <w:spacing w:after="120" w:line="360" w:lineRule="auto"/>
        <w:ind w:left="357" w:hanging="357"/>
        <w:jc w:val="both"/>
        <w:rPr>
          <w:rFonts w:ascii="Times New Roman" w:eastAsiaTheme="minorHAnsi" w:hAnsi="Times New Roman"/>
          <w:sz w:val="24"/>
          <w:szCs w:val="24"/>
        </w:rPr>
      </w:pPr>
      <w:r w:rsidRPr="00D72DB6">
        <w:rPr>
          <w:rFonts w:ascii="Times New Roman" w:hAnsi="Times New Roman"/>
          <w:sz w:val="24"/>
          <w:szCs w:val="24"/>
        </w:rPr>
        <w:t>Raporti në kuadër të përgatitjes së takimit të parë të mekanizmit për monitorimin e zbatimit të rekomandimeve të institucioneve të pavarura, raportuar pranë Kuvendit të Shqipërisë lidhur me nivelin e zbatimit të Rekomandimeve.</w:t>
      </w:r>
    </w:p>
    <w:p w:rsidR="00D72DB6" w:rsidRPr="00D72DB6" w:rsidRDefault="00D72DB6" w:rsidP="00D72DB6">
      <w:pPr>
        <w:pStyle w:val="ListParagraph"/>
        <w:tabs>
          <w:tab w:val="left" w:pos="360"/>
        </w:tabs>
        <w:spacing w:after="0" w:line="360" w:lineRule="auto"/>
        <w:ind w:left="0"/>
        <w:jc w:val="both"/>
        <w:rPr>
          <w:rFonts w:ascii="Times New Roman" w:hAnsi="Times New Roman"/>
          <w:b/>
          <w:sz w:val="24"/>
          <w:szCs w:val="24"/>
        </w:rPr>
      </w:pPr>
    </w:p>
    <w:p w:rsidR="00D72DB6" w:rsidRPr="00D72DB6" w:rsidRDefault="00D72DB6" w:rsidP="00D72DB6">
      <w:pPr>
        <w:pStyle w:val="ListParagraph"/>
        <w:tabs>
          <w:tab w:val="left" w:pos="360"/>
        </w:tabs>
        <w:spacing w:after="0" w:line="360" w:lineRule="auto"/>
        <w:ind w:left="0"/>
        <w:jc w:val="both"/>
        <w:rPr>
          <w:rFonts w:ascii="Times New Roman" w:hAnsi="Times New Roman"/>
          <w:b/>
          <w:sz w:val="24"/>
          <w:szCs w:val="24"/>
        </w:rPr>
      </w:pPr>
    </w:p>
    <w:p w:rsidR="00D72DB6" w:rsidRPr="00D72DB6" w:rsidRDefault="00D72DB6" w:rsidP="00D72DB6">
      <w:pPr>
        <w:pStyle w:val="Heading1"/>
        <w:spacing w:after="240"/>
        <w:ind w:left="272" w:hanging="272"/>
        <w:jc w:val="both"/>
        <w:rPr>
          <w:rFonts w:ascii="Times New Roman" w:hAnsi="Times New Roman" w:cs="Times New Roman"/>
          <w:b/>
          <w:sz w:val="24"/>
          <w:szCs w:val="24"/>
        </w:rPr>
      </w:pPr>
      <w:bookmarkStart w:id="30" w:name="_Toc507424902"/>
      <w:r w:rsidRPr="00D72DB6">
        <w:rPr>
          <w:rFonts w:ascii="Times New Roman" w:hAnsi="Times New Roman" w:cs="Times New Roman"/>
          <w:b/>
          <w:sz w:val="24"/>
          <w:szCs w:val="24"/>
        </w:rPr>
        <w:t>5. TRAJTIMI I ANKESAVE SIPAS LIGJIT NR. 146/2014 “PËR NJOFTIMIN DHE KONSULTIMIN PUBLIK”</w:t>
      </w:r>
      <w:bookmarkEnd w:id="30"/>
      <w:r w:rsidRPr="00D72DB6">
        <w:rPr>
          <w:rFonts w:ascii="Times New Roman" w:hAnsi="Times New Roman" w:cs="Times New Roman"/>
          <w:b/>
          <w:sz w:val="24"/>
          <w:szCs w:val="24"/>
        </w:rPr>
        <w:t xml:space="preserve"> </w:t>
      </w:r>
    </w:p>
    <w:p w:rsidR="00D72DB6" w:rsidRPr="00D72DB6" w:rsidRDefault="00D72DB6" w:rsidP="00D72DB6">
      <w:pPr>
        <w:spacing w:after="240" w:line="360" w:lineRule="auto"/>
        <w:jc w:val="both"/>
        <w:rPr>
          <w:rFonts w:ascii="Times New Roman" w:hAnsi="Times New Roman"/>
          <w:sz w:val="24"/>
          <w:szCs w:val="24"/>
        </w:rPr>
      </w:pPr>
      <w:r w:rsidRPr="00D72DB6">
        <w:rPr>
          <w:rFonts w:ascii="Times New Roman" w:hAnsi="Times New Roman"/>
          <w:sz w:val="24"/>
          <w:szCs w:val="24"/>
        </w:rPr>
        <w:t xml:space="preserve">Në përmbushje të detyrës për shqyrtimin e ankesave në lidhje me procedurat e parashikuara në ligjin nr. 146/2014 “Për Njoftimin dhe Konsultimin Publik”, për vitin 2017,  Komisioneri është shprehur me </w:t>
      </w:r>
      <w:r w:rsidRPr="00D72DB6">
        <w:rPr>
          <w:rFonts w:ascii="Times New Roman" w:hAnsi="Times New Roman"/>
          <w:b/>
          <w:sz w:val="24"/>
          <w:szCs w:val="24"/>
        </w:rPr>
        <w:t>5 vendime</w:t>
      </w:r>
      <w:r w:rsidRPr="00D72DB6">
        <w:rPr>
          <w:rFonts w:ascii="Times New Roman" w:hAnsi="Times New Roman"/>
          <w:sz w:val="24"/>
          <w:szCs w:val="24"/>
        </w:rPr>
        <w:t xml:space="preserve">, prej të cilave: </w:t>
      </w:r>
    </w:p>
    <w:p w:rsidR="00D72DB6" w:rsidRPr="00D72DB6" w:rsidRDefault="00D72DB6" w:rsidP="00D72DB6">
      <w:pPr>
        <w:pStyle w:val="ListParagraph"/>
        <w:numPr>
          <w:ilvl w:val="0"/>
          <w:numId w:val="13"/>
        </w:numPr>
        <w:spacing w:after="240" w:line="360" w:lineRule="auto"/>
        <w:ind w:left="357" w:hanging="357"/>
        <w:jc w:val="both"/>
        <w:rPr>
          <w:rFonts w:ascii="Times New Roman" w:hAnsi="Times New Roman"/>
          <w:sz w:val="24"/>
          <w:szCs w:val="24"/>
          <w:lang w:eastAsia="ja-JP"/>
        </w:rPr>
      </w:pPr>
      <w:r w:rsidRPr="00D72DB6">
        <w:rPr>
          <w:rFonts w:ascii="Times New Roman" w:hAnsi="Times New Roman"/>
          <w:sz w:val="24"/>
          <w:szCs w:val="24"/>
          <w:lang w:eastAsia="sq-AL"/>
        </w:rPr>
        <w:t>Vendimi nr. 28, datë 13.02.2017, me palë ankuese Komitetin Shqiptar të Helsinkit, kundër Organit Publik/ Ministria e Drejt</w:t>
      </w:r>
      <w:r w:rsidRPr="00D72DB6">
        <w:rPr>
          <w:rFonts w:ascii="Times New Roman" w:hAnsi="Times New Roman"/>
          <w:sz w:val="24"/>
          <w:szCs w:val="24"/>
          <w:lang w:eastAsia="ja-JP"/>
        </w:rPr>
        <w:t xml:space="preserve">ësisë. Objekti i ankimit: Ankim lidhur me cenimin e të drejtës për njoftim dhe konsultim publik për </w:t>
      </w:r>
      <w:r w:rsidRPr="00D72DB6">
        <w:rPr>
          <w:rFonts w:ascii="Times New Roman" w:hAnsi="Times New Roman"/>
          <w:b/>
          <w:i/>
          <w:sz w:val="24"/>
          <w:szCs w:val="24"/>
          <w:lang w:eastAsia="ja-JP"/>
        </w:rPr>
        <w:t>projektligjin “Për dhënie amnistie”</w:t>
      </w:r>
      <w:r w:rsidRPr="00D72DB6">
        <w:rPr>
          <w:rFonts w:ascii="Times New Roman" w:hAnsi="Times New Roman"/>
          <w:sz w:val="24"/>
          <w:szCs w:val="24"/>
          <w:lang w:eastAsia="ja-JP"/>
        </w:rPr>
        <w:t xml:space="preserve">, me anë të të cilit Komisioneri vendosi pranimin e ankesës dhe ti propozojë organit publik marrjen e masave administrative sipas nenit 10, të ligjit nr. 146/2014; </w:t>
      </w:r>
    </w:p>
    <w:p w:rsidR="00D72DB6" w:rsidRPr="00D72DB6" w:rsidRDefault="00D72DB6" w:rsidP="00D72DB6">
      <w:pPr>
        <w:pStyle w:val="ListParagraph"/>
        <w:numPr>
          <w:ilvl w:val="0"/>
          <w:numId w:val="13"/>
        </w:numPr>
        <w:spacing w:after="240" w:line="360" w:lineRule="auto"/>
        <w:ind w:left="357" w:hanging="357"/>
        <w:jc w:val="both"/>
        <w:rPr>
          <w:rFonts w:ascii="Times New Roman" w:hAnsi="Times New Roman"/>
          <w:sz w:val="24"/>
          <w:szCs w:val="24"/>
          <w:lang w:eastAsia="ja-JP"/>
        </w:rPr>
      </w:pPr>
      <w:r w:rsidRPr="00D72DB6">
        <w:rPr>
          <w:rFonts w:ascii="Times New Roman" w:hAnsi="Times New Roman"/>
          <w:sz w:val="24"/>
          <w:szCs w:val="24"/>
          <w:lang w:eastAsia="ja-JP"/>
        </w:rPr>
        <w:t xml:space="preserve">Vendimi nr. 54, </w:t>
      </w:r>
      <w:r w:rsidRPr="00D72DB6">
        <w:rPr>
          <w:rFonts w:ascii="Times New Roman" w:hAnsi="Times New Roman"/>
          <w:sz w:val="24"/>
          <w:szCs w:val="24"/>
          <w:lang w:eastAsia="sq-AL"/>
        </w:rPr>
        <w:t>datë</w:t>
      </w:r>
      <w:r w:rsidRPr="00D72DB6">
        <w:rPr>
          <w:rFonts w:ascii="Times New Roman" w:hAnsi="Times New Roman"/>
          <w:sz w:val="24"/>
          <w:szCs w:val="24"/>
          <w:lang w:eastAsia="ja-JP"/>
        </w:rPr>
        <w:t xml:space="preserve"> 21.03.2017, </w:t>
      </w:r>
      <w:r w:rsidRPr="00D72DB6">
        <w:rPr>
          <w:rFonts w:ascii="Times New Roman" w:hAnsi="Times New Roman"/>
          <w:sz w:val="24"/>
          <w:szCs w:val="24"/>
          <w:lang w:eastAsia="sq-AL"/>
        </w:rPr>
        <w:t>me palë ankuese</w:t>
      </w:r>
      <w:r w:rsidRPr="00D72DB6">
        <w:rPr>
          <w:rFonts w:ascii="Times New Roman" w:hAnsi="Times New Roman"/>
          <w:sz w:val="24"/>
          <w:szCs w:val="24"/>
          <w:lang w:eastAsia="ja-JP"/>
        </w:rPr>
        <w:t xml:space="preserve">: Shoqata “Intelektualët e Rinj, Shpresë”, kundër Organit Publik/ Bashkia Shkodër. Objekti i ankimit: ankim lidhur me cenimin për njoftimin dhe konsultimin publik </w:t>
      </w:r>
      <w:r w:rsidRPr="00D72DB6">
        <w:rPr>
          <w:rFonts w:ascii="Times New Roman" w:hAnsi="Times New Roman"/>
          <w:b/>
          <w:i/>
          <w:sz w:val="24"/>
          <w:szCs w:val="24"/>
          <w:lang w:eastAsia="ja-JP"/>
        </w:rPr>
        <w:t xml:space="preserve">për buxhetin e vitit 2017 dhe planin buxhetor afat-mesëm 2018-2019 të Bashkisë Shkodër </w:t>
      </w:r>
      <w:r w:rsidRPr="00D72DB6">
        <w:rPr>
          <w:rFonts w:ascii="Times New Roman" w:hAnsi="Times New Roman"/>
          <w:sz w:val="24"/>
          <w:szCs w:val="24"/>
          <w:lang w:eastAsia="ja-JP"/>
        </w:rPr>
        <w:t>”, me anë të të cilit Komisioneri vendosi pranimin e ankesës kundër organit publik Bashkisë Shkodër dhe ti propozojë organit publik marrjen e masave administrative sipas nenit 10, të ligjit nr. 146/2014;</w:t>
      </w:r>
    </w:p>
    <w:p w:rsidR="00D72DB6" w:rsidRPr="00D72DB6" w:rsidRDefault="00D72DB6" w:rsidP="00D72DB6">
      <w:pPr>
        <w:pStyle w:val="ListParagraph"/>
        <w:numPr>
          <w:ilvl w:val="0"/>
          <w:numId w:val="13"/>
        </w:numPr>
        <w:spacing w:after="240" w:line="360" w:lineRule="auto"/>
        <w:ind w:left="357" w:hanging="357"/>
        <w:jc w:val="both"/>
        <w:rPr>
          <w:rFonts w:ascii="Times New Roman" w:hAnsi="Times New Roman"/>
          <w:sz w:val="24"/>
          <w:szCs w:val="24"/>
          <w:lang w:eastAsia="ja-JP"/>
        </w:rPr>
      </w:pPr>
      <w:r w:rsidRPr="00D72DB6">
        <w:rPr>
          <w:rFonts w:ascii="Times New Roman" w:hAnsi="Times New Roman"/>
          <w:sz w:val="24"/>
          <w:szCs w:val="24"/>
          <w:lang w:eastAsia="ja-JP"/>
        </w:rPr>
        <w:t>Vendimi nr. 80,</w:t>
      </w:r>
      <w:r w:rsidRPr="00D72DB6">
        <w:rPr>
          <w:rFonts w:ascii="Times New Roman" w:hAnsi="Times New Roman"/>
          <w:sz w:val="24"/>
          <w:szCs w:val="24"/>
          <w:lang w:eastAsia="sq-AL"/>
        </w:rPr>
        <w:t xml:space="preserve"> datë 31.05.2017</w:t>
      </w:r>
      <w:r w:rsidRPr="00D72DB6">
        <w:rPr>
          <w:rFonts w:ascii="Times New Roman" w:hAnsi="Times New Roman"/>
          <w:sz w:val="24"/>
          <w:szCs w:val="24"/>
          <w:lang w:eastAsia="ja-JP"/>
        </w:rPr>
        <w:t xml:space="preserve"> </w:t>
      </w:r>
      <w:r w:rsidRPr="00D72DB6">
        <w:rPr>
          <w:rFonts w:ascii="Times New Roman" w:hAnsi="Times New Roman"/>
          <w:sz w:val="24"/>
          <w:szCs w:val="24"/>
          <w:lang w:eastAsia="sq-AL"/>
        </w:rPr>
        <w:t>me palë ankuese</w:t>
      </w:r>
      <w:r w:rsidRPr="00D72DB6">
        <w:rPr>
          <w:rFonts w:ascii="Times New Roman" w:hAnsi="Times New Roman"/>
          <w:sz w:val="24"/>
          <w:szCs w:val="24"/>
          <w:lang w:eastAsia="ja-JP"/>
        </w:rPr>
        <w:t xml:space="preserve">: Komiteti Shqiptar i Helsinkit dhe Qendra Mjedisore për Zhvillim, Edukim dhe Rrjetëzim “EDEN” , kundër Organit Publik: Këshilli Kombëtar i Territorit. Objekti i Ankimit: Ankim lidhur me cënimin e të drejtës për njoftimin dhe konsultimin publik, për </w:t>
      </w:r>
      <w:r w:rsidRPr="00D72DB6">
        <w:rPr>
          <w:rFonts w:ascii="Times New Roman" w:hAnsi="Times New Roman"/>
          <w:b/>
          <w:i/>
          <w:sz w:val="24"/>
          <w:szCs w:val="24"/>
          <w:lang w:eastAsia="ja-JP"/>
        </w:rPr>
        <w:t>vendimin nr. 6, 08.04.2014 “Për Miratimin e Lejes Zhvillimore Komplekse për ndërtimin e hidrocentralit “Dragobia”, Komuna Margegaj, Qarku Kukës</w:t>
      </w:r>
      <w:r w:rsidRPr="00D72DB6">
        <w:rPr>
          <w:rFonts w:ascii="Times New Roman" w:hAnsi="Times New Roman"/>
          <w:sz w:val="24"/>
          <w:szCs w:val="24"/>
          <w:lang w:eastAsia="ja-JP"/>
        </w:rPr>
        <w:t>” me anë të të cilit Komsioneri  vendosi rrëzimin e ankesës;</w:t>
      </w:r>
    </w:p>
    <w:p w:rsidR="00D72DB6" w:rsidRPr="00D72DB6" w:rsidRDefault="00D72DB6" w:rsidP="00D72DB6">
      <w:pPr>
        <w:pStyle w:val="ListParagraph"/>
        <w:numPr>
          <w:ilvl w:val="0"/>
          <w:numId w:val="13"/>
        </w:numPr>
        <w:spacing w:after="240" w:line="360" w:lineRule="auto"/>
        <w:ind w:left="357" w:hanging="357"/>
        <w:jc w:val="both"/>
        <w:rPr>
          <w:rFonts w:ascii="Times New Roman" w:hAnsi="Times New Roman"/>
          <w:sz w:val="24"/>
          <w:szCs w:val="24"/>
          <w:lang w:eastAsia="ja-JP"/>
        </w:rPr>
      </w:pPr>
      <w:r w:rsidRPr="00D72DB6">
        <w:rPr>
          <w:rFonts w:ascii="Times New Roman" w:hAnsi="Times New Roman"/>
          <w:sz w:val="24"/>
          <w:szCs w:val="24"/>
          <w:lang w:eastAsia="ja-JP"/>
        </w:rPr>
        <w:lastRenderedPageBreak/>
        <w:t xml:space="preserve">Vendimi nr. 81, datë 16.06.2017 </w:t>
      </w:r>
      <w:r w:rsidRPr="00D72DB6">
        <w:rPr>
          <w:rFonts w:ascii="Times New Roman" w:hAnsi="Times New Roman"/>
          <w:sz w:val="24"/>
          <w:szCs w:val="24"/>
          <w:lang w:eastAsia="sq-AL"/>
        </w:rPr>
        <w:t>me palë ankuese</w:t>
      </w:r>
      <w:r w:rsidRPr="00D72DB6">
        <w:rPr>
          <w:rFonts w:ascii="Times New Roman" w:hAnsi="Times New Roman"/>
          <w:sz w:val="24"/>
          <w:szCs w:val="24"/>
          <w:lang w:eastAsia="ja-JP"/>
        </w:rPr>
        <w:t>: Komiteti Shqiptar i Helsinkit, kundër Organit Publik/ Ministrisë së Zhvillimit Urban. Objekti i ankimit: Ankim lidhur me cënimin e të drejtës për njoftimin dhe konsultimin publik për projektligjin “</w:t>
      </w:r>
      <w:r w:rsidRPr="00D72DB6">
        <w:rPr>
          <w:rFonts w:ascii="Times New Roman" w:hAnsi="Times New Roman"/>
          <w:b/>
          <w:i/>
          <w:sz w:val="24"/>
          <w:szCs w:val="24"/>
          <w:lang w:eastAsia="ja-JP"/>
        </w:rPr>
        <w:t>Për strehimin Social</w:t>
      </w:r>
      <w:r w:rsidRPr="00D72DB6">
        <w:rPr>
          <w:rFonts w:ascii="Times New Roman" w:hAnsi="Times New Roman"/>
          <w:sz w:val="24"/>
          <w:szCs w:val="24"/>
          <w:lang w:eastAsia="ja-JP"/>
        </w:rPr>
        <w:t>”, me anë të të cilit Komisioneri vendosi pranimin e ankesës kundër organit publik dhe konstatimin e moszbatimit nga organi publik të procedurës të parashikuar në nenet 6, 7/1, 11 dhe 15/1, të ligjit nr.146/2014. Ky vendim u ankimua nga ministria përkatëse për të cilin gjykata vendosi kthimin e padisë pasi u konstatua me të meta;</w:t>
      </w:r>
    </w:p>
    <w:p w:rsidR="00D72DB6" w:rsidRPr="00D72DB6" w:rsidRDefault="00D72DB6" w:rsidP="00D72DB6">
      <w:pPr>
        <w:pStyle w:val="ListParagraph"/>
        <w:numPr>
          <w:ilvl w:val="0"/>
          <w:numId w:val="13"/>
        </w:numPr>
        <w:spacing w:after="240" w:line="360" w:lineRule="auto"/>
        <w:ind w:left="357" w:hanging="357"/>
        <w:jc w:val="both"/>
        <w:rPr>
          <w:rFonts w:ascii="Times New Roman" w:hAnsi="Times New Roman"/>
          <w:sz w:val="24"/>
          <w:szCs w:val="24"/>
          <w:lang w:eastAsia="ja-JP"/>
        </w:rPr>
      </w:pPr>
      <w:r w:rsidRPr="00D72DB6">
        <w:rPr>
          <w:rFonts w:ascii="Times New Roman" w:hAnsi="Times New Roman"/>
          <w:sz w:val="24"/>
          <w:szCs w:val="24"/>
          <w:lang w:eastAsia="ja-JP"/>
        </w:rPr>
        <w:t xml:space="preserve">Vendimi nr. 93, datë 11.10.2017 </w:t>
      </w:r>
      <w:r w:rsidRPr="00D72DB6">
        <w:rPr>
          <w:rFonts w:ascii="Times New Roman" w:hAnsi="Times New Roman"/>
          <w:sz w:val="24"/>
          <w:szCs w:val="24"/>
          <w:lang w:eastAsia="sq-AL"/>
        </w:rPr>
        <w:t>me palë ankuese</w:t>
      </w:r>
      <w:r w:rsidRPr="00D72DB6">
        <w:rPr>
          <w:rFonts w:ascii="Times New Roman" w:hAnsi="Times New Roman"/>
          <w:sz w:val="24"/>
          <w:szCs w:val="24"/>
          <w:lang w:eastAsia="ja-JP"/>
        </w:rPr>
        <w:t xml:space="preserve"> Komiteti Shqiptar i Helsinkit, kundër organit publik/ Bashkia Tiranë. Objekti i ankimit: Ankim lidhur me cënimin e të drejtës për njoftimin dhe konsultimin publik </w:t>
      </w:r>
      <w:r w:rsidRPr="00D72DB6">
        <w:rPr>
          <w:rFonts w:ascii="Times New Roman" w:hAnsi="Times New Roman"/>
          <w:b/>
          <w:i/>
          <w:sz w:val="24"/>
          <w:szCs w:val="24"/>
          <w:lang w:eastAsia="ja-JP"/>
        </w:rPr>
        <w:t>për propozimin për rritjen e çmimit të ujit dhe miratimin e tij nga Këshilli Bashkiak Tiranë,</w:t>
      </w:r>
      <w:r w:rsidRPr="00D72DB6">
        <w:rPr>
          <w:rFonts w:ascii="Times New Roman" w:hAnsi="Times New Roman"/>
          <w:sz w:val="24"/>
          <w:szCs w:val="24"/>
          <w:lang w:eastAsia="ja-JP"/>
        </w:rPr>
        <w:t xml:space="preserve"> me anë të të cilit Komisioneri vendosi deklarimin e mos kompetencës lidhur me ankesën e KSHH kundër Organit Publik Bashkia Tiranë, për shkak se projektakti objekt ankimi nuk është miratuar ende. Ky vendim është ankimuar në gjykatë dhe vijon ndjekja e këtij procesi pranë Gjykatës Administrative të Shkallës së Parë Tiranë. </w:t>
      </w:r>
    </w:p>
    <w:p w:rsidR="00D72DB6" w:rsidRPr="00D72DB6" w:rsidRDefault="00D72DB6" w:rsidP="00D72DB6">
      <w:pPr>
        <w:pStyle w:val="Heading1"/>
        <w:numPr>
          <w:ilvl w:val="0"/>
          <w:numId w:val="13"/>
        </w:numPr>
        <w:jc w:val="both"/>
        <w:rPr>
          <w:rFonts w:ascii="Times New Roman" w:hAnsi="Times New Roman" w:cs="Times New Roman"/>
          <w:b/>
          <w:sz w:val="24"/>
          <w:szCs w:val="24"/>
        </w:rPr>
      </w:pPr>
      <w:bookmarkStart w:id="31" w:name="_Toc507424903"/>
      <w:r w:rsidRPr="00D72DB6">
        <w:rPr>
          <w:rFonts w:ascii="Times New Roman" w:hAnsi="Times New Roman" w:cs="Times New Roman"/>
          <w:b/>
          <w:sz w:val="24"/>
          <w:szCs w:val="24"/>
        </w:rPr>
        <w:t>NDËRGJEGJËSIMI DHE PROMOVIMI I TË DREJTËS PËR INFORMIM DHE MBROJTJEN E TË DHËNAVE PERSONALE</w:t>
      </w:r>
      <w:bookmarkEnd w:id="31"/>
      <w:r w:rsidRPr="00D72DB6">
        <w:rPr>
          <w:rFonts w:ascii="Times New Roman" w:hAnsi="Times New Roman" w:cs="Times New Roman"/>
          <w:b/>
          <w:sz w:val="24"/>
          <w:szCs w:val="24"/>
        </w:rPr>
        <w:t xml:space="preserve"> </w:t>
      </w:r>
    </w:p>
    <w:p w:rsidR="00D72DB6" w:rsidRPr="00D72DB6" w:rsidRDefault="00D72DB6" w:rsidP="00D72DB6">
      <w:pPr>
        <w:jc w:val="both"/>
        <w:rPr>
          <w:rFonts w:ascii="Times New Roman" w:hAnsi="Times New Roman"/>
          <w:sz w:val="24"/>
          <w:szCs w:val="24"/>
        </w:rPr>
      </w:pPr>
    </w:p>
    <w:p w:rsidR="00D72DB6" w:rsidRPr="00D72DB6" w:rsidRDefault="00D72DB6" w:rsidP="00D72DB6">
      <w:pPr>
        <w:spacing w:after="240"/>
        <w:jc w:val="both"/>
        <w:rPr>
          <w:rFonts w:ascii="Times New Roman" w:hAnsi="Times New Roman"/>
          <w:sz w:val="24"/>
          <w:szCs w:val="24"/>
          <w:lang w:eastAsia="ja-JP"/>
        </w:rPr>
      </w:pPr>
      <w:r w:rsidRPr="00D72DB6">
        <w:rPr>
          <w:rFonts w:ascii="Times New Roman" w:hAnsi="Times New Roman"/>
          <w:sz w:val="24"/>
          <w:szCs w:val="24"/>
          <w:lang w:eastAsia="ja-JP"/>
        </w:rPr>
        <w:t xml:space="preserve">Zyra e Komisionerit ka zhvilluar aktivitete të ndryshme me qëllim ndërgjegjësimin dhe promovimin e të drejtës për informim dhe mbrojtjes së të dhënave personale. </w:t>
      </w:r>
    </w:p>
    <w:p w:rsidR="00D72DB6" w:rsidRPr="00D72DB6" w:rsidRDefault="00D72DB6" w:rsidP="00D72DB6">
      <w:pPr>
        <w:pStyle w:val="ListParagraph"/>
        <w:numPr>
          <w:ilvl w:val="0"/>
          <w:numId w:val="14"/>
        </w:numPr>
        <w:spacing w:after="240" w:line="360" w:lineRule="auto"/>
        <w:jc w:val="both"/>
        <w:rPr>
          <w:rFonts w:ascii="Times New Roman" w:hAnsi="Times New Roman"/>
          <w:b/>
          <w:sz w:val="24"/>
          <w:szCs w:val="24"/>
        </w:rPr>
      </w:pPr>
      <w:r w:rsidRPr="00D72DB6">
        <w:rPr>
          <w:rFonts w:ascii="Times New Roman" w:hAnsi="Times New Roman"/>
          <w:b/>
          <w:sz w:val="24"/>
          <w:szCs w:val="24"/>
        </w:rPr>
        <w:t>28 Janari, Dita Evropiane e Mbrojtjes së të Dhënave Personale, realizimi i aplikacionit “IDP Ankesa”</w:t>
      </w:r>
    </w:p>
    <w:p w:rsidR="00D72DB6" w:rsidRPr="00D72DB6" w:rsidRDefault="00D72DB6" w:rsidP="00D72DB6">
      <w:pPr>
        <w:pStyle w:val="NoSpacing"/>
        <w:spacing w:after="240" w:line="360" w:lineRule="auto"/>
        <w:jc w:val="both"/>
        <w:rPr>
          <w:lang w:val="sq-AL"/>
        </w:rPr>
      </w:pPr>
      <w:r w:rsidRPr="00D72DB6">
        <w:rPr>
          <w:lang w:val="sq-AL"/>
        </w:rPr>
        <w:t>Në kuadër të 28 Janarit – Ditës Evropiane të Mbrojtjes së të Dhënave Personale, Zyra e Komisionerit zhvilloi konkursin “Privacy App”. Kjo iniciativë u mbështet nga Instituti “Harry Fultz”, nxënësit e të cilit realizuan një aplikacion për telefona të zgjuar (smartphones). Kjo risi mundëson realizimin e ankesës për çdo shkelje apo keqpërdorim të të dhënave personale drejtpërdrejtë nga telefoni. Aplikacioni “IDP ANKESA” është i disponueshëm për t’u shkarkuar nga të gjithë qytetarët në “</w:t>
      </w:r>
      <w:r w:rsidRPr="00D72DB6">
        <w:rPr>
          <w:i/>
          <w:lang w:val="sq-AL"/>
        </w:rPr>
        <w:t xml:space="preserve">play store” (për telefonat android) </w:t>
      </w:r>
      <w:r w:rsidRPr="00D72DB6">
        <w:rPr>
          <w:lang w:val="sq-AL"/>
        </w:rPr>
        <w:t xml:space="preserve">dhe në një fazë të dytë, do të mundësohet shkarkimi edhe për sistemin iOS. </w:t>
      </w:r>
    </w:p>
    <w:p w:rsidR="00D72DB6" w:rsidRPr="00D72DB6" w:rsidRDefault="00D72DB6" w:rsidP="00D72DB6">
      <w:pPr>
        <w:pStyle w:val="ListParagraph"/>
        <w:numPr>
          <w:ilvl w:val="0"/>
          <w:numId w:val="14"/>
        </w:numPr>
        <w:spacing w:after="240" w:line="360" w:lineRule="auto"/>
        <w:ind w:left="402" w:hanging="357"/>
        <w:jc w:val="both"/>
        <w:rPr>
          <w:rFonts w:ascii="Times New Roman" w:hAnsi="Times New Roman"/>
          <w:b/>
          <w:sz w:val="24"/>
          <w:szCs w:val="24"/>
        </w:rPr>
      </w:pPr>
      <w:r w:rsidRPr="00D72DB6">
        <w:rPr>
          <w:rFonts w:ascii="Times New Roman" w:hAnsi="Times New Roman"/>
          <w:b/>
          <w:sz w:val="24"/>
          <w:szCs w:val="24"/>
        </w:rPr>
        <w:t>Shkollat dhe trajnimet “Informim dhe Privatësi” - bashkëpunimi me Universitetin e Tiranës, Universitetin “Ismail Qemali” të Vlorës dhe Akademinë e Sigurisë</w:t>
      </w:r>
    </w:p>
    <w:p w:rsidR="00D72DB6" w:rsidRPr="00D72DB6" w:rsidRDefault="00D72DB6" w:rsidP="00D72DB6">
      <w:pPr>
        <w:pStyle w:val="NoSpacing"/>
        <w:spacing w:after="240" w:line="360" w:lineRule="auto"/>
        <w:jc w:val="both"/>
        <w:rPr>
          <w:lang w:val="sq-AL"/>
        </w:rPr>
      </w:pPr>
      <w:r w:rsidRPr="00D72DB6">
        <w:rPr>
          <w:lang w:val="sq-AL"/>
        </w:rPr>
        <w:lastRenderedPageBreak/>
        <w:t xml:space="preserve">Zyra e Komisionerit në kuadër të marrëveshjes së bashkëpunimit të nënshkruar me Universitetin e Tiranës, bashkë organizuan në datat 23-27 janar Shkollën Dimërore “Informim dhe Privatësi”. Në edicionin e parë të kësaj Shkolle u përzgjodhën për të marrë pjesë 60 studentë dhe staf akademik e administrativ nga të gjithë fakultetet e Universitetit të Tiranës. </w:t>
      </w:r>
    </w:p>
    <w:p w:rsidR="00D72DB6" w:rsidRPr="00D72DB6" w:rsidRDefault="00D72DB6" w:rsidP="00D72DB6">
      <w:pPr>
        <w:pStyle w:val="NoSpacing"/>
        <w:spacing w:after="240" w:line="360" w:lineRule="auto"/>
        <w:jc w:val="both"/>
        <w:rPr>
          <w:lang w:val="sq-AL"/>
        </w:rPr>
      </w:pPr>
      <w:r w:rsidRPr="00D72DB6">
        <w:rPr>
          <w:lang w:val="sq-AL"/>
        </w:rPr>
        <w:t xml:space="preserve">Kjo iniciativë u realizua edhe me Universitetin “Ismail Qemali” të Vlorës, kësaj radhe si “Shkolla Verore - Informim dhe Privatësi” në datat 30 maj – 2 qershor 2017. Shkolla Verore u mbështet nga Prezenca e OSBE në Shqipëri. Në të u përzgjodhën për të marrë pjesë mbi 100 studentë dhe staf akademik e administrativ të Universitetit të Vlorës. </w:t>
      </w:r>
    </w:p>
    <w:p w:rsidR="00D72DB6" w:rsidRPr="00D72DB6" w:rsidRDefault="00D72DB6" w:rsidP="00D72DB6">
      <w:pPr>
        <w:pStyle w:val="NoSpacing"/>
        <w:spacing w:after="240" w:line="360" w:lineRule="auto"/>
        <w:jc w:val="both"/>
        <w:rPr>
          <w:lang w:val="sq-AL"/>
        </w:rPr>
      </w:pPr>
      <w:r w:rsidRPr="00D72DB6">
        <w:rPr>
          <w:lang w:val="sq-AL"/>
        </w:rPr>
        <w:t>Në të dy këto aktivitete, u trajtuan tema dhe raste konkrete nga praktika shqiptare dhe ajo evropiane, si në drejtim të mbrojtjes së privatësisë dhe të dhënave personale, ashtu edhe për të drejtën e informimit.</w:t>
      </w:r>
    </w:p>
    <w:p w:rsidR="00D72DB6" w:rsidRPr="00D72DB6" w:rsidRDefault="00D72DB6" w:rsidP="00D72DB6">
      <w:pPr>
        <w:pStyle w:val="NoSpacing"/>
        <w:spacing w:after="280" w:line="360" w:lineRule="auto"/>
        <w:jc w:val="both"/>
        <w:rPr>
          <w:spacing w:val="-1"/>
          <w:lang w:val="sq-AL"/>
        </w:rPr>
      </w:pPr>
      <w:r w:rsidRPr="00D72DB6">
        <w:rPr>
          <w:lang w:val="sq-AL"/>
        </w:rPr>
        <w:t xml:space="preserve">Në datat </w:t>
      </w:r>
      <w:r w:rsidRPr="00D72DB6">
        <w:rPr>
          <w:spacing w:val="-1"/>
          <w:lang w:val="sq-AL"/>
        </w:rPr>
        <w:t>21-22 nëntor 2017, Zyra e Komisionerit zhvilloi në bashkëpunim me Akademinë e Sigurisë, trajnimin “Informim dhe Privatësi”. Në këtë aktivitet u përzgjodhën për të marrë pjesë  41 persona, staf akademik dhe administrativ nga institucioni arsimor i Policisë së Shtetit. Trajnimi u fokusua në zgjerimin e njohurive për mbrojtjen e të dhënave personale si dhe ligjit për të drejtën e informimit. Njëkohësisht, trajnimi u fokusua edhe tek ligji nr. 19/2016 “Për masat shtesë të sigurisë publike”, dhe Udhëzimet nr. 3 dhe nr. 46 të Komisionerit, që kanë të bëjnë me respektimin e të drejtës së qytetarëve për privatësi në raport me “</w:t>
      </w:r>
      <w:r w:rsidRPr="00D72DB6">
        <w:rPr>
          <w:i/>
          <w:spacing w:val="-1"/>
          <w:lang w:val="sq-AL"/>
        </w:rPr>
        <w:t>përpunimin e të dhënave me sisteme videosurvejimi</w:t>
      </w:r>
      <w:r w:rsidRPr="00D72DB6">
        <w:rPr>
          <w:spacing w:val="-1"/>
          <w:lang w:val="sq-AL"/>
        </w:rPr>
        <w:t>” dhe me “</w:t>
      </w:r>
      <w:r w:rsidRPr="00D72DB6">
        <w:rPr>
          <w:i/>
          <w:spacing w:val="-1"/>
          <w:lang w:val="sq-AL"/>
        </w:rPr>
        <w:t>nivelin e sigurisë së përpunimit të të dhënave nga masat shtesë të sigurisë</w:t>
      </w:r>
      <w:r w:rsidRPr="00D72DB6">
        <w:rPr>
          <w:spacing w:val="-1"/>
          <w:lang w:val="sq-AL"/>
        </w:rPr>
        <w:t xml:space="preserve">”. </w:t>
      </w:r>
    </w:p>
    <w:p w:rsidR="00D72DB6" w:rsidRPr="00D72DB6" w:rsidRDefault="00D72DB6" w:rsidP="00D72DB6">
      <w:pPr>
        <w:pStyle w:val="ListParagraph"/>
        <w:numPr>
          <w:ilvl w:val="0"/>
          <w:numId w:val="14"/>
        </w:numPr>
        <w:spacing w:after="240" w:line="360" w:lineRule="auto"/>
        <w:ind w:left="360"/>
        <w:jc w:val="both"/>
        <w:rPr>
          <w:rFonts w:ascii="Times New Roman" w:hAnsi="Times New Roman"/>
          <w:b/>
          <w:i/>
          <w:sz w:val="24"/>
          <w:szCs w:val="24"/>
        </w:rPr>
      </w:pPr>
      <w:r w:rsidRPr="00D72DB6">
        <w:rPr>
          <w:rFonts w:ascii="Times New Roman" w:hAnsi="Times New Roman"/>
          <w:b/>
          <w:sz w:val="24"/>
          <w:szCs w:val="24"/>
        </w:rPr>
        <w:t>“Konferenca III Kombëtare për të Drejtën e Informimit, Koordinatori dhe Shoqëria Civile”, Konferencat rajonale për të drejtën e informimit, 28 Shtatori – Dita e të Drejtës për Informim</w:t>
      </w:r>
    </w:p>
    <w:p w:rsidR="00D72DB6" w:rsidRPr="00D72DB6" w:rsidRDefault="00D72DB6" w:rsidP="00D72DB6">
      <w:pPr>
        <w:pStyle w:val="NoSpacing"/>
        <w:spacing w:after="280" w:line="360" w:lineRule="auto"/>
        <w:jc w:val="both"/>
        <w:rPr>
          <w:lang w:val="sq-AL"/>
        </w:rPr>
      </w:pPr>
      <w:r w:rsidRPr="00D72DB6">
        <w:rPr>
          <w:lang w:val="sq-AL"/>
        </w:rPr>
        <w:t xml:space="preserve">Zyra e Komisionerit organizoi në bashkëpunim me Zyrën e Prezencës së OSBE në Shqipëri, </w:t>
      </w:r>
      <w:r w:rsidRPr="00D72DB6">
        <w:rPr>
          <w:i/>
          <w:lang w:val="sq-AL"/>
        </w:rPr>
        <w:t>“Konferencën III Kombëtare për të Drejtën e Informimit, Koordinatori dhe Shoqëria Civile”</w:t>
      </w:r>
      <w:r w:rsidRPr="00D72DB6">
        <w:rPr>
          <w:lang w:val="sq-AL"/>
        </w:rPr>
        <w:t>. Në këtë Konferencë u prezantuan dy dokumente të rëndësishme për mirëfunksionimin e Autoriteteve Publike në respektimin e të drejtës për akses në dokumentet zyrtare: “</w:t>
      </w:r>
      <w:r w:rsidRPr="00D72DB6">
        <w:rPr>
          <w:i/>
          <w:lang w:val="sq-AL"/>
        </w:rPr>
        <w:t>Udhëzuesi për Koordinatorin e të drejtës për informim</w:t>
      </w:r>
      <w:r w:rsidRPr="00D72DB6">
        <w:rPr>
          <w:lang w:val="sq-AL"/>
        </w:rPr>
        <w:t>”, - manuali për nëpunësit e ngarkuar me administrimin e procesit të dhënies së informacionit i cili është hartuar me mbështetjen e SIGMA/OECD; “</w:t>
      </w:r>
      <w:r w:rsidRPr="00D72DB6">
        <w:rPr>
          <w:i/>
          <w:lang w:val="sq-AL"/>
        </w:rPr>
        <w:t>Instrumenti i Vetëvlerësimit të Autoritetit Publik</w:t>
      </w:r>
      <w:r w:rsidRPr="00D72DB6">
        <w:rPr>
          <w:lang w:val="sq-AL"/>
        </w:rPr>
        <w:t xml:space="preserve">” - përcakton hapat e </w:t>
      </w:r>
      <w:r w:rsidRPr="00D72DB6">
        <w:rPr>
          <w:lang w:val="sq-AL"/>
        </w:rPr>
        <w:lastRenderedPageBreak/>
        <w:t>përmbushjes së detyrimeve në raport me dispozitat e ligjit “Për të drejtën e informimit”, të çdo institucioni të administratës publike.</w:t>
      </w:r>
    </w:p>
    <w:p w:rsidR="00D72DB6" w:rsidRPr="00D72DB6" w:rsidRDefault="00D72DB6" w:rsidP="00D72DB6">
      <w:pPr>
        <w:pStyle w:val="NoSpacing"/>
        <w:spacing w:after="280" w:line="360" w:lineRule="auto"/>
        <w:jc w:val="both"/>
        <w:rPr>
          <w:lang w:val="sq-AL"/>
        </w:rPr>
      </w:pPr>
      <w:r w:rsidRPr="00D72DB6">
        <w:rPr>
          <w:lang w:val="sq-AL"/>
        </w:rPr>
        <w:t>Zyra e Komisionerit gjatë vitit 2017 zhvilloi edhe 4 Konferenca Rajonale “E drejta për informim, autoritetet publike, koordinatori dhe programet e transparencës” në</w:t>
      </w:r>
      <w:r w:rsidRPr="00D72DB6">
        <w:rPr>
          <w:b/>
          <w:lang w:val="sq-AL"/>
        </w:rPr>
        <w:t xml:space="preserve"> </w:t>
      </w:r>
      <w:r w:rsidRPr="00D72DB6">
        <w:rPr>
          <w:lang w:val="sq-AL"/>
        </w:rPr>
        <w:t xml:space="preserve">Durrës, Lezhë, Peshkopi dhe Sarandë. Në këto konferenca, u trajnuan përfaqësues të Prefekturës, të njësive të vetqeverisjes vendore, të organeve të drejtësisë dhe Policisë e Shtetit, të institucioneve qendrore në nivel vendor, etj., për detyrimet e ligjit 119/2014 “Për të drejtën e informimit”, si dhe u prezantuan edhe funksionet e portalit </w:t>
      </w:r>
      <w:r w:rsidRPr="00D72DB6">
        <w:rPr>
          <w:i/>
          <w:lang w:val="sq-AL"/>
        </w:rPr>
        <w:t xml:space="preserve">“pyetshtetin.al” </w:t>
      </w:r>
      <w:r w:rsidRPr="00D72DB6">
        <w:rPr>
          <w:lang w:val="sq-AL"/>
        </w:rPr>
        <w:t xml:space="preserve">si një platformë e integruar informative për qytetarët. </w:t>
      </w:r>
    </w:p>
    <w:p w:rsidR="00D72DB6" w:rsidRPr="00D72DB6" w:rsidRDefault="00D72DB6" w:rsidP="00D72DB6">
      <w:pPr>
        <w:pStyle w:val="NoSpacing"/>
        <w:spacing w:after="280" w:line="360" w:lineRule="auto"/>
        <w:jc w:val="both"/>
        <w:rPr>
          <w:lang w:val="sq-AL"/>
        </w:rPr>
      </w:pPr>
      <w:r w:rsidRPr="00D72DB6">
        <w:rPr>
          <w:lang w:val="sq-AL"/>
        </w:rPr>
        <w:t xml:space="preserve">Më 28 Shtator – Ditën e të Drejtës për Informim, Zyra e Komisionerit prezantoi një poster ndërgjegjësues, i cili simbolizon lulen e mirëqeverisjes. Nismës iu bashkuan shumë Autoritete publike qendrore, vendore dhe nga sistemi i drejtësisë. </w:t>
      </w:r>
    </w:p>
    <w:p w:rsidR="00D72DB6" w:rsidRPr="00D72DB6" w:rsidRDefault="00D72DB6" w:rsidP="00D72DB6">
      <w:pPr>
        <w:pStyle w:val="ListParagraph"/>
        <w:numPr>
          <w:ilvl w:val="0"/>
          <w:numId w:val="14"/>
        </w:numPr>
        <w:spacing w:after="240"/>
        <w:ind w:left="402" w:hanging="357"/>
        <w:jc w:val="both"/>
        <w:rPr>
          <w:rFonts w:ascii="Times New Roman" w:hAnsi="Times New Roman"/>
          <w:b/>
          <w:sz w:val="24"/>
          <w:szCs w:val="24"/>
        </w:rPr>
      </w:pPr>
      <w:r w:rsidRPr="00D72DB6">
        <w:rPr>
          <w:rFonts w:ascii="Times New Roman" w:hAnsi="Times New Roman"/>
          <w:b/>
          <w:sz w:val="24"/>
          <w:szCs w:val="24"/>
        </w:rPr>
        <w:t>Marrëveshje bashkëpunimi</w:t>
      </w:r>
    </w:p>
    <w:p w:rsidR="00D72DB6" w:rsidRPr="00D72DB6" w:rsidRDefault="00D72DB6" w:rsidP="00D72DB6">
      <w:pPr>
        <w:pStyle w:val="NoSpacing"/>
        <w:spacing w:after="240" w:line="360" w:lineRule="auto"/>
        <w:jc w:val="both"/>
        <w:rPr>
          <w:lang w:val="sq-AL"/>
        </w:rPr>
      </w:pPr>
      <w:r w:rsidRPr="00D72DB6">
        <w:rPr>
          <w:lang w:val="sq-AL"/>
        </w:rPr>
        <w:t xml:space="preserve">Gjatë këtij viti Zyra e Komisionerit nënshkroi dy marrëveshje bashkëpunimi: </w:t>
      </w:r>
    </w:p>
    <w:p w:rsidR="00D72DB6" w:rsidRPr="00D72DB6" w:rsidRDefault="00D72DB6" w:rsidP="00D72DB6">
      <w:pPr>
        <w:pStyle w:val="NoSpacing"/>
        <w:numPr>
          <w:ilvl w:val="0"/>
          <w:numId w:val="15"/>
        </w:numPr>
        <w:spacing w:after="240" w:line="360" w:lineRule="auto"/>
        <w:ind w:left="714" w:hanging="357"/>
        <w:jc w:val="both"/>
        <w:rPr>
          <w:lang w:val="sq-AL"/>
        </w:rPr>
      </w:pPr>
      <w:r w:rsidRPr="00D72DB6">
        <w:rPr>
          <w:lang w:val="sq-AL"/>
        </w:rPr>
        <w:t xml:space="preserve">Marrëveshje bashkëpunimi me Autoritetin për Informimin mbi Dokumentet e Ish Sigurimit të Shtetit. Dokumenti parashikon ndër të tjera dhënien e opinioneve për hartimin e akteve të ndryshme ligjore e nënligjore, shkëmbimin e informacioneve në funksion të veprimtarisë respektive të institucioneve, organizimin e aktiviteteve të përbashkëta, apo përgatitjen dhe shkëmbimin e botimeve; </w:t>
      </w:r>
    </w:p>
    <w:p w:rsidR="00D72DB6" w:rsidRPr="00D72DB6" w:rsidRDefault="00D72DB6" w:rsidP="00D72DB6">
      <w:pPr>
        <w:pStyle w:val="NoSpacing"/>
        <w:numPr>
          <w:ilvl w:val="0"/>
          <w:numId w:val="15"/>
        </w:numPr>
        <w:spacing w:after="240" w:line="360" w:lineRule="auto"/>
        <w:jc w:val="both"/>
        <w:rPr>
          <w:lang w:val="sq-AL"/>
        </w:rPr>
      </w:pPr>
      <w:r w:rsidRPr="00D72DB6">
        <w:rPr>
          <w:lang w:val="sq-AL"/>
        </w:rPr>
        <w:t xml:space="preserve">Marrëveshje bashkëpunimi me Dhomën Kombëtare të Ndërmjetësve. Ky dokument i angazhon palët në zbatimin e standardeve më të larta në mbrojtje të privatësisë dhe të dhënave personale të qytetarëve dhe njëkohësisht, në respektimin e të drejtës për informimin me dokumentet zyrtare. </w:t>
      </w:r>
    </w:p>
    <w:p w:rsidR="00D72DB6" w:rsidRPr="00D72DB6" w:rsidRDefault="00D72DB6" w:rsidP="00D72DB6">
      <w:pPr>
        <w:pStyle w:val="ListParagraph"/>
        <w:numPr>
          <w:ilvl w:val="0"/>
          <w:numId w:val="16"/>
        </w:numPr>
        <w:spacing w:after="240" w:line="360" w:lineRule="auto"/>
        <w:ind w:left="357" w:hanging="357"/>
        <w:jc w:val="both"/>
        <w:rPr>
          <w:rFonts w:ascii="Times New Roman" w:hAnsi="Times New Roman"/>
          <w:sz w:val="24"/>
          <w:szCs w:val="24"/>
        </w:rPr>
      </w:pPr>
      <w:r w:rsidRPr="00D72DB6">
        <w:rPr>
          <w:rFonts w:ascii="Times New Roman" w:hAnsi="Times New Roman"/>
          <w:b/>
          <w:sz w:val="24"/>
          <w:szCs w:val="24"/>
        </w:rPr>
        <w:t>Studimi “Privatësia dhe siguria e të dhënave personale gjatë përdorimit të rrjeteve sociale nga grup mosha 15-18 vjeç</w:t>
      </w:r>
      <w:r w:rsidRPr="00D72DB6">
        <w:rPr>
          <w:rFonts w:ascii="Times New Roman" w:hAnsi="Times New Roman"/>
          <w:sz w:val="24"/>
          <w:szCs w:val="24"/>
        </w:rPr>
        <w:t xml:space="preserve">” </w:t>
      </w:r>
      <w:r w:rsidRPr="00D72DB6">
        <w:rPr>
          <w:rFonts w:ascii="Times New Roman" w:hAnsi="Times New Roman"/>
          <w:b/>
          <w:sz w:val="24"/>
          <w:szCs w:val="24"/>
        </w:rPr>
        <w:t>dhe</w:t>
      </w:r>
      <w:r w:rsidRPr="00D72DB6">
        <w:rPr>
          <w:rFonts w:ascii="Times New Roman" w:hAnsi="Times New Roman"/>
          <w:sz w:val="24"/>
          <w:szCs w:val="24"/>
        </w:rPr>
        <w:t xml:space="preserve"> </w:t>
      </w:r>
      <w:r w:rsidRPr="00D72DB6">
        <w:rPr>
          <w:rFonts w:ascii="Times New Roman" w:hAnsi="Times New Roman"/>
          <w:b/>
          <w:sz w:val="24"/>
          <w:szCs w:val="24"/>
        </w:rPr>
        <w:t>fushata ndërgjegjësuese “Privatësi dhe Siguri”</w:t>
      </w:r>
    </w:p>
    <w:p w:rsidR="00D72DB6" w:rsidRPr="00D72DB6" w:rsidRDefault="00D72DB6" w:rsidP="00D72DB6">
      <w:pPr>
        <w:pStyle w:val="NoSpacing"/>
        <w:spacing w:after="240" w:line="360" w:lineRule="auto"/>
        <w:jc w:val="both"/>
        <w:rPr>
          <w:lang w:val="sq-AL"/>
        </w:rPr>
      </w:pPr>
      <w:r w:rsidRPr="00D72DB6">
        <w:rPr>
          <w:lang w:val="sq-AL"/>
        </w:rPr>
        <w:t xml:space="preserve">Zyra e Komisionerit në aktivitetin e organizuar për “Ditën e Internetit të Sigurt”, në bashkëpunim me Ministrin e Shtetit për Inovacionin dhe Administratën Publike, prezantoi Studimin “Privatësia dhe siguria e të dhënave personale gjatë përdorimit të rrjeteve sociale nga grup mosha 15-18 vjeç” dhe Rezolutën për “Kuadrin ndërkombëtar të aftësimit për </w:t>
      </w:r>
      <w:r w:rsidRPr="00D72DB6">
        <w:rPr>
          <w:lang w:val="sq-AL"/>
        </w:rPr>
        <w:lastRenderedPageBreak/>
        <w:t xml:space="preserve">privatësinë” aprovuar në Konferencën e 38-të Ndërkombëtare të Komisionerëve të Mbrojtjes së të Dhënave dhe Privatësisë (fushata ndërgjegjësuese “Privatësi dhe Siguri”). </w:t>
      </w:r>
    </w:p>
    <w:p w:rsidR="00D72DB6" w:rsidRPr="00D72DB6" w:rsidRDefault="00D72DB6" w:rsidP="00D72DB6">
      <w:pPr>
        <w:pStyle w:val="NoSpacing"/>
        <w:spacing w:after="240" w:line="360" w:lineRule="auto"/>
        <w:jc w:val="both"/>
        <w:rPr>
          <w:shd w:val="clear" w:color="auto" w:fill="FFFFFF"/>
          <w:lang w:val="sq-AL"/>
        </w:rPr>
      </w:pPr>
      <w:r w:rsidRPr="00D72DB6">
        <w:rPr>
          <w:lang w:val="sq-AL"/>
        </w:rPr>
        <w:t xml:space="preserve">Kjo fushatë nisi me takimin e realizuar në mjediset e Zyrës së Komisionerit me përfaqësues të DAR/ZA nga i gjithë vendi. Gjatë vitit, janë zhvilluar takime në qarqet e Dibrës, Kukësit, Shkodrës, Lezhës, Elbasanit, Korçës, Durrësit, Gjirokastrës dhe rrethin e Sarandës me mësues të lëndëve të edukatës shoqërore, TIK dhe psikologë për konsultimin e gjerë të këtij dokumenti. </w:t>
      </w:r>
      <w:r w:rsidRPr="00D72DB6">
        <w:rPr>
          <w:shd w:val="clear" w:color="auto" w:fill="FFFFFF"/>
          <w:lang w:val="sq-AL"/>
        </w:rPr>
        <w:t>Zyra e Komisionerit po bashkëpunon me Ministrinë e Arsimit, Sportit dhe Rinisë që “Kuadri i aftësimit të mësuesve” të përfshihet në kurrikulën e arsimit 9-vjeçar.</w:t>
      </w:r>
    </w:p>
    <w:p w:rsidR="00D72DB6" w:rsidRPr="00D72DB6" w:rsidRDefault="00D72DB6" w:rsidP="00D72DB6">
      <w:pPr>
        <w:pStyle w:val="NoSpacing"/>
        <w:spacing w:after="240" w:line="360" w:lineRule="auto"/>
        <w:jc w:val="both"/>
        <w:rPr>
          <w:shd w:val="clear" w:color="auto" w:fill="FFFFFF"/>
          <w:lang w:val="sq-AL"/>
        </w:rPr>
      </w:pPr>
    </w:p>
    <w:p w:rsidR="00D72DB6" w:rsidRPr="00D72DB6" w:rsidRDefault="00D72DB6" w:rsidP="00D72DB6">
      <w:pPr>
        <w:pStyle w:val="ListParagraph"/>
        <w:numPr>
          <w:ilvl w:val="0"/>
          <w:numId w:val="16"/>
        </w:numPr>
        <w:spacing w:after="240"/>
        <w:ind w:left="357" w:hanging="357"/>
        <w:rPr>
          <w:rFonts w:ascii="Times New Roman" w:hAnsi="Times New Roman"/>
          <w:b/>
          <w:sz w:val="24"/>
          <w:szCs w:val="24"/>
        </w:rPr>
      </w:pPr>
      <w:r w:rsidRPr="00D72DB6">
        <w:rPr>
          <w:rFonts w:ascii="Times New Roman" w:hAnsi="Times New Roman"/>
          <w:b/>
          <w:sz w:val="24"/>
          <w:szCs w:val="24"/>
        </w:rPr>
        <w:t>Organizimi i trajnimeve për mbrojtjen e të dhënave personale</w:t>
      </w:r>
    </w:p>
    <w:p w:rsidR="00D72DB6" w:rsidRPr="00D72DB6" w:rsidRDefault="00D72DB6" w:rsidP="00D72DB6">
      <w:pPr>
        <w:pStyle w:val="NoSpacing"/>
        <w:spacing w:after="240" w:line="360" w:lineRule="auto"/>
        <w:jc w:val="both"/>
        <w:rPr>
          <w:lang w:val="sq-AL"/>
        </w:rPr>
      </w:pPr>
      <w:r w:rsidRPr="00D72DB6">
        <w:rPr>
          <w:lang w:val="sq-AL"/>
        </w:rPr>
        <w:t xml:space="preserve">Zyra e Komisionerit, në bashkëpunim me Prezencën e OSBE në Shqipëri organizuan në 15 qershor 2017, trajnimin me temë </w:t>
      </w:r>
      <w:r w:rsidRPr="00D72DB6">
        <w:rPr>
          <w:i/>
          <w:lang w:val="sq-AL"/>
        </w:rPr>
        <w:t>“Videosurvejimi dhe mbrojtja e të dhënave personale”</w:t>
      </w:r>
      <w:r w:rsidRPr="00D72DB6">
        <w:rPr>
          <w:lang w:val="sq-AL"/>
        </w:rPr>
        <w:t xml:space="preserve">. Aktiviteti kishte për qëllim prezantimin e rregullave dhe parimeve të mbrojtjes së privatësisë në raport me procesin e videosurvejimit. Pjesëmarrës në trajnim ishin përfaqësues të institucioneve qendrore, gjykatave, prokurorisë, policisë, organeve të vetqeverisjes vendore, sistemit të arsimit dhe shëndetësisë, agjencive të ndryshme të shërbimeve publike, sistemit bankar, kompanive të telekomunikacionit, sigurimeve, call center, shoqërive të ruajtjes dhe sigurisë fizike, të shoqatave të ndryshme të biznesit, etj. </w:t>
      </w:r>
    </w:p>
    <w:p w:rsidR="00D72DB6" w:rsidRPr="00D72DB6" w:rsidRDefault="00D72DB6" w:rsidP="00D72DB6">
      <w:pPr>
        <w:pStyle w:val="NoSpacing"/>
        <w:spacing w:after="240" w:line="360" w:lineRule="auto"/>
        <w:jc w:val="both"/>
        <w:rPr>
          <w:lang w:val="sq-AL"/>
        </w:rPr>
      </w:pPr>
      <w:r w:rsidRPr="00D72DB6">
        <w:rPr>
          <w:lang w:val="sq-AL"/>
        </w:rPr>
        <w:t xml:space="preserve">Në kuadër të Programit të Formimit Vazhdues të Shkollës së Magjistraturës u zhvillua në datat 27-28 shkurt 2017, seminari i 3-të trajnues me temë </w:t>
      </w:r>
      <w:r w:rsidRPr="00D72DB6">
        <w:rPr>
          <w:i/>
          <w:lang w:val="sq-AL"/>
        </w:rPr>
        <w:t>“Mbrojtja e të dhënave personale, me fokus të veçantë, mbrojtja e të dhënave sensitive që publikohen në vendimet gjyqësore</w:t>
      </w:r>
      <w:r w:rsidRPr="00D72DB6">
        <w:rPr>
          <w:lang w:val="sq-AL"/>
        </w:rPr>
        <w:t xml:space="preserve">”. Në këtë seminar morën pjesë gjyqtarë nga gjykatat e të gjitha niveleve. </w:t>
      </w:r>
    </w:p>
    <w:p w:rsidR="00D72DB6" w:rsidRPr="00D72DB6" w:rsidRDefault="00D72DB6" w:rsidP="00D72DB6">
      <w:pPr>
        <w:pStyle w:val="ListParagraph"/>
        <w:numPr>
          <w:ilvl w:val="0"/>
          <w:numId w:val="16"/>
        </w:numPr>
        <w:spacing w:after="360"/>
        <w:ind w:left="357" w:hanging="357"/>
        <w:jc w:val="both"/>
        <w:rPr>
          <w:rFonts w:ascii="Times New Roman" w:hAnsi="Times New Roman"/>
          <w:b/>
          <w:sz w:val="24"/>
          <w:szCs w:val="24"/>
        </w:rPr>
      </w:pPr>
      <w:r w:rsidRPr="00D72DB6">
        <w:rPr>
          <w:rFonts w:ascii="Times New Roman" w:hAnsi="Times New Roman"/>
          <w:b/>
          <w:sz w:val="24"/>
          <w:szCs w:val="24"/>
        </w:rPr>
        <w:t>Aktivitete të organizuara në bashkëpunim me fondacionin “Shoqëria e Hapur për Shqipërinë” (SOROS)</w:t>
      </w:r>
    </w:p>
    <w:p w:rsidR="00D72DB6" w:rsidRPr="00D72DB6" w:rsidRDefault="00D72DB6" w:rsidP="00D72DB6">
      <w:pPr>
        <w:pStyle w:val="NoSpacing"/>
        <w:spacing w:after="240" w:line="360" w:lineRule="auto"/>
        <w:jc w:val="both"/>
        <w:rPr>
          <w:lang w:val="sq-AL"/>
        </w:rPr>
      </w:pPr>
      <w:r w:rsidRPr="00D72DB6">
        <w:rPr>
          <w:lang w:val="sq-AL"/>
        </w:rPr>
        <w:t>Zyra e Komisionerit me Fondacionin “Shoqëria e Hapur për Shqipërinë” zbatuan projektin “Matja e kapaciteteve të koordinatorëve të të drejtës për informim dhe koordinatorëve të njoftimit dhe konsultimit publik”. Në këtë kuadër u zhvilluan 3 tryeza të rrumbullakëta me përfaqësues të drejtorive juridike dhe  koordinatorë të autoriteteve të pavarura, ministrive dhe institucioneve të varësisë si dhe organeve të vetqeverisjes vendore me synim matjen e kapaciteteve dhe forcimin e rolit të koordinatorëve. Gjatë vitit 2018 pritet të hartohet një raport me propozimet përkatëse.</w:t>
      </w:r>
    </w:p>
    <w:p w:rsidR="00D72DB6" w:rsidRPr="00D72DB6" w:rsidRDefault="00D72DB6" w:rsidP="00D72DB6">
      <w:pPr>
        <w:pStyle w:val="ListParagraph"/>
        <w:numPr>
          <w:ilvl w:val="0"/>
          <w:numId w:val="16"/>
        </w:numPr>
        <w:spacing w:after="360"/>
        <w:ind w:left="448" w:hanging="357"/>
        <w:rPr>
          <w:rFonts w:ascii="Times New Roman" w:hAnsi="Times New Roman"/>
          <w:b/>
          <w:sz w:val="24"/>
          <w:szCs w:val="24"/>
        </w:rPr>
      </w:pPr>
      <w:r w:rsidRPr="00D72DB6">
        <w:rPr>
          <w:rFonts w:ascii="Times New Roman" w:hAnsi="Times New Roman"/>
          <w:b/>
          <w:sz w:val="24"/>
          <w:szCs w:val="24"/>
        </w:rPr>
        <w:lastRenderedPageBreak/>
        <w:t>Faqja e internetit të Zyrës së Komisionerit dhe Revista “Informim Dhe Privatësi”</w:t>
      </w:r>
    </w:p>
    <w:p w:rsidR="00D72DB6" w:rsidRPr="00D72DB6" w:rsidRDefault="00D72DB6" w:rsidP="00D72DB6">
      <w:pPr>
        <w:pStyle w:val="NoSpacing"/>
        <w:spacing w:after="240" w:line="360" w:lineRule="auto"/>
        <w:jc w:val="both"/>
        <w:rPr>
          <w:lang w:val="sq-AL"/>
        </w:rPr>
      </w:pPr>
      <w:r w:rsidRPr="00D72DB6">
        <w:rPr>
          <w:lang w:val="sq-AL"/>
        </w:rPr>
        <w:t xml:space="preserve">Zyra e Komisionerit realizoi faqen e saj të re zyrtare në internet ku çdo qytetar mund të konsultojë lehtësisht legjislacionin mbi të cilin funksionon Autoriteti dhe vendimmarrjen e tij. Lajme dhe njoftime mbi aktivitetin e përditshëm të Zyrës së Komisionerit përcillen në kohë reale, duke krijuar një hapësirë të plotë dhe interaktive informative për qytetarët dhe modelin e transparencës për Autoritetet Publike. </w:t>
      </w:r>
    </w:p>
    <w:p w:rsidR="00D72DB6" w:rsidRPr="00D72DB6" w:rsidRDefault="00D72DB6" w:rsidP="00D72DB6">
      <w:pPr>
        <w:pStyle w:val="NoSpacing"/>
        <w:spacing w:after="240" w:line="360" w:lineRule="auto"/>
        <w:jc w:val="both"/>
        <w:rPr>
          <w:lang w:val="sq-AL"/>
        </w:rPr>
      </w:pPr>
      <w:r w:rsidRPr="00D72DB6">
        <w:rPr>
          <w:rFonts w:eastAsia="Times New Roman"/>
          <w:bCs/>
          <w:kern w:val="36"/>
          <w:lang w:val="sq-AL"/>
        </w:rPr>
        <w:t xml:space="preserve">Gjatë vitit 2017 Zyra e Komisionerit publikoi numri 3 dhe 4 të Revistës “Informim Dhe Privatësi”. </w:t>
      </w:r>
      <w:r w:rsidRPr="00D72DB6">
        <w:rPr>
          <w:lang w:val="sq-AL"/>
        </w:rPr>
        <w:t>Në këto botime janë pasqyruar aktivitetet kryesore, të organizuara nga Zyra e Komisionerit.</w:t>
      </w:r>
    </w:p>
    <w:p w:rsidR="00D72DB6" w:rsidRPr="00D72DB6" w:rsidRDefault="00D72DB6" w:rsidP="00D72DB6">
      <w:pPr>
        <w:pStyle w:val="Heading1"/>
        <w:numPr>
          <w:ilvl w:val="0"/>
          <w:numId w:val="17"/>
        </w:numPr>
        <w:rPr>
          <w:rFonts w:ascii="Times New Roman" w:hAnsi="Times New Roman" w:cs="Times New Roman"/>
          <w:b/>
          <w:sz w:val="24"/>
          <w:szCs w:val="24"/>
        </w:rPr>
      </w:pPr>
      <w:bookmarkStart w:id="32" w:name="_Toc507424904"/>
      <w:r w:rsidRPr="00D72DB6">
        <w:rPr>
          <w:rFonts w:ascii="Times New Roman" w:hAnsi="Times New Roman" w:cs="Times New Roman"/>
          <w:b/>
          <w:sz w:val="24"/>
          <w:szCs w:val="24"/>
        </w:rPr>
        <w:t>VEPRIMTARIA NDËRKOMBËTARE</w:t>
      </w:r>
      <w:bookmarkEnd w:id="32"/>
    </w:p>
    <w:p w:rsidR="00D72DB6" w:rsidRPr="00D72DB6" w:rsidRDefault="00D72DB6" w:rsidP="00D72DB6">
      <w:pPr>
        <w:autoSpaceDE w:val="0"/>
        <w:autoSpaceDN w:val="0"/>
        <w:adjustRightInd w:val="0"/>
        <w:spacing w:after="120" w:line="360" w:lineRule="auto"/>
        <w:jc w:val="both"/>
        <w:rPr>
          <w:rFonts w:ascii="Times New Roman" w:hAnsi="Times New Roman"/>
          <w:b/>
          <w:color w:val="2E74B5" w:themeColor="accent1" w:themeShade="BF"/>
          <w:sz w:val="24"/>
          <w:szCs w:val="24"/>
        </w:rPr>
      </w:pPr>
    </w:p>
    <w:p w:rsidR="00D72DB6" w:rsidRPr="00D72DB6" w:rsidRDefault="00D72DB6" w:rsidP="00D72DB6">
      <w:pPr>
        <w:pStyle w:val="ListParagraph"/>
        <w:numPr>
          <w:ilvl w:val="0"/>
          <w:numId w:val="16"/>
        </w:numPr>
        <w:spacing w:after="300" w:line="360" w:lineRule="auto"/>
        <w:ind w:left="360"/>
        <w:jc w:val="both"/>
        <w:rPr>
          <w:rFonts w:ascii="Times New Roman" w:hAnsi="Times New Roman"/>
          <w:b/>
          <w:sz w:val="24"/>
          <w:szCs w:val="24"/>
        </w:rPr>
      </w:pPr>
      <w:r w:rsidRPr="00D72DB6">
        <w:rPr>
          <w:rFonts w:ascii="Times New Roman" w:hAnsi="Times New Roman"/>
          <w:b/>
          <w:sz w:val="24"/>
          <w:szCs w:val="24"/>
        </w:rPr>
        <w:t>Zyra</w:t>
      </w:r>
      <w:r w:rsidRPr="00D72DB6">
        <w:rPr>
          <w:rStyle w:val="Heading2Char"/>
          <w:rFonts w:ascii="Times New Roman" w:hAnsi="Times New Roman" w:cs="Times New Roman"/>
          <w:b/>
          <w:color w:val="auto"/>
          <w:sz w:val="24"/>
          <w:szCs w:val="24"/>
        </w:rPr>
        <w:t xml:space="preserve"> </w:t>
      </w:r>
      <w:r w:rsidRPr="00D72DB6">
        <w:rPr>
          <w:rFonts w:ascii="Times New Roman" w:hAnsi="Times New Roman"/>
          <w:b/>
          <w:sz w:val="24"/>
          <w:szCs w:val="24"/>
        </w:rPr>
        <w:t>e Komisionerit, organizatore e Konferencës së Autoriteteve Evropiane të Mbrojtjes së të Dhënave (CEDPA) në 3-4 Maj 2018 si dhe e Konferencës Botërore (ICDPPC) në vitin 2019</w:t>
      </w:r>
    </w:p>
    <w:p w:rsidR="00D72DB6" w:rsidRPr="00D72DB6" w:rsidRDefault="00D72DB6" w:rsidP="00D72DB6">
      <w:pPr>
        <w:spacing w:after="300" w:line="360" w:lineRule="auto"/>
        <w:jc w:val="both"/>
        <w:rPr>
          <w:rFonts w:ascii="Times New Roman" w:hAnsi="Times New Roman"/>
          <w:sz w:val="24"/>
          <w:szCs w:val="24"/>
        </w:rPr>
      </w:pPr>
      <w:r w:rsidRPr="00D72DB6">
        <w:rPr>
          <w:rFonts w:ascii="Times New Roman" w:hAnsi="Times New Roman"/>
          <w:sz w:val="24"/>
          <w:szCs w:val="24"/>
        </w:rPr>
        <w:t>Zyra e Komisionerit, në cilësinë e anëtares me të drejta të plota të Konferencës së Autoriteteve Evropiane të Mbrojtjes së të Dhënave (CEDPA), aplikoi zyrtarisht pranë Sekretariatit, me qëllim organizimin e edicionit të 28-të të saj në vitin 2018, propozim i cili u miratua duke e anëtarësuar automatikisht Zyrën e Komisionerit në Komitetin e Akreditimit dhe Mbështetjes të Konferencës, së bashku me Hungarinë dhe Qipron.</w:t>
      </w:r>
    </w:p>
    <w:p w:rsidR="00D72DB6" w:rsidRPr="00D72DB6" w:rsidRDefault="00D72DB6" w:rsidP="00D72DB6">
      <w:pPr>
        <w:pStyle w:val="NoSpacing"/>
        <w:spacing w:after="300" w:line="360" w:lineRule="auto"/>
        <w:jc w:val="both"/>
        <w:rPr>
          <w:lang w:val="sq-AL"/>
        </w:rPr>
      </w:pPr>
      <w:r w:rsidRPr="00D72DB6">
        <w:rPr>
          <w:lang w:val="sq-AL"/>
        </w:rPr>
        <w:t xml:space="preserve">Pas aplikimit zyrtar të depozituar në mars 2017, me qëllim organizimin e </w:t>
      </w:r>
      <w:r w:rsidRPr="00D72DB6">
        <w:rPr>
          <w:bCs/>
          <w:lang w:val="sq-AL"/>
        </w:rPr>
        <w:t>Konferencës Ndërkombëtare të Komisionerëve të Mbrojtjes së të Dhënave dhe Privatësisë në vitin 2019 (ICDPPC)</w:t>
      </w:r>
      <w:r w:rsidRPr="00D72DB6">
        <w:rPr>
          <w:lang w:val="sq-AL"/>
        </w:rPr>
        <w:t xml:space="preserve">, Komiteti Ekzekutiv i rekomandoi anëtarësisë kandidaturën e përzgjedhur të Zyrës së Komisionerit, e cila u miratua pa vërejtje dhe u njoftua zyrtarisht në datën 20 korrik 2017. Ashtu sikurse për Konferencën Evropiane edhe kjo konferencë do të zhvillohet për herë të parë në Shqipëri. </w:t>
      </w:r>
    </w:p>
    <w:p w:rsidR="00D72DB6" w:rsidRPr="00D72DB6" w:rsidRDefault="00D72DB6" w:rsidP="00D72DB6">
      <w:pPr>
        <w:pStyle w:val="NoSpacing"/>
        <w:spacing w:after="300" w:line="360" w:lineRule="auto"/>
        <w:jc w:val="both"/>
        <w:rPr>
          <w:lang w:val="sq-AL"/>
        </w:rPr>
      </w:pPr>
      <w:r w:rsidRPr="00D72DB6">
        <w:rPr>
          <w:lang w:val="sq-AL"/>
        </w:rPr>
        <w:t>Gjithashtu n</w:t>
      </w:r>
      <w:r w:rsidRPr="00D72DB6">
        <w:rPr>
          <w:shd w:val="clear" w:color="auto" w:fill="FFFFFF"/>
          <w:lang w:val="sq-AL"/>
        </w:rPr>
        <w:t>ë Konferencën e 39-të Ndërkombëtare të Komisionerëve të Mbrojtjes së të Dhënave dhe Privatësisë (ICDPPC) të 2017-ës u zhvilluan zgjedhjet për kreun dhe anëtarët e rinj të </w:t>
      </w:r>
      <w:hyperlink r:id="rId67" w:tgtFrame="_blank" w:history="1">
        <w:r w:rsidRPr="00D72DB6">
          <w:rPr>
            <w:rStyle w:val="Hyperlink"/>
            <w:bdr w:val="none" w:sz="0" w:space="0" w:color="auto" w:frame="1"/>
            <w:shd w:val="clear" w:color="auto" w:fill="FFFFFF"/>
            <w:lang w:val="sq-AL"/>
          </w:rPr>
          <w:t>Komitetit Ekzekutiv</w:t>
        </w:r>
      </w:hyperlink>
      <w:r w:rsidRPr="00D72DB6">
        <w:rPr>
          <w:shd w:val="clear" w:color="auto" w:fill="FFFFFF"/>
          <w:lang w:val="sq-AL"/>
        </w:rPr>
        <w:t>. Komisioneri Shqiptar për të Drejtën e Informimit dhe Mbrojtjen e të Dhënave Personale u zgjodh anëtar-vëzhgues në këtë forum. Prej tetorit  2018, ai do të jetë anëtar me të drejta të plota në organin drejtues të organizatës.</w:t>
      </w:r>
      <w:r w:rsidRPr="00D72DB6">
        <w:rPr>
          <w:lang w:val="sq-AL"/>
        </w:rPr>
        <w:t xml:space="preserve"> </w:t>
      </w:r>
    </w:p>
    <w:p w:rsidR="00D72DB6" w:rsidRPr="00D72DB6" w:rsidRDefault="00D72DB6" w:rsidP="00D72DB6">
      <w:pPr>
        <w:pStyle w:val="ListParagraph"/>
        <w:numPr>
          <w:ilvl w:val="0"/>
          <w:numId w:val="16"/>
        </w:numPr>
        <w:spacing w:after="300" w:line="360" w:lineRule="auto"/>
        <w:ind w:left="360"/>
        <w:jc w:val="both"/>
        <w:rPr>
          <w:rFonts w:ascii="Times New Roman" w:hAnsi="Times New Roman"/>
          <w:b/>
          <w:sz w:val="24"/>
          <w:szCs w:val="24"/>
        </w:rPr>
      </w:pPr>
      <w:r w:rsidRPr="00D72DB6">
        <w:rPr>
          <w:rFonts w:ascii="Times New Roman" w:hAnsi="Times New Roman"/>
          <w:b/>
          <w:sz w:val="24"/>
          <w:szCs w:val="24"/>
        </w:rPr>
        <w:lastRenderedPageBreak/>
        <w:t>Zyra e Komisionerit bashkëpunon me Instrumentin e Asistencës Teknike për Shkëmbimin e Informacionit të Bashkimit Evropian (TAIEX)</w:t>
      </w:r>
    </w:p>
    <w:p w:rsidR="00D72DB6" w:rsidRPr="00D72DB6" w:rsidRDefault="00D72DB6" w:rsidP="00D72DB6">
      <w:pPr>
        <w:pStyle w:val="NormalWeb"/>
        <w:shd w:val="clear" w:color="auto" w:fill="FFFFFF"/>
        <w:spacing w:before="0" w:beforeAutospacing="0" w:after="300" w:afterAutospacing="0" w:line="360" w:lineRule="auto"/>
        <w:jc w:val="both"/>
        <w:textAlignment w:val="baseline"/>
      </w:pPr>
      <w:r w:rsidRPr="00D72DB6">
        <w:rPr>
          <w:bCs/>
        </w:rPr>
        <w:t>Zyra e Komisionerit në bashkëpunim me Instrumentin e Asistencës Teknike për Shkëmbimin e Informacionit të Bashkimit Evropian (TAIEX),</w:t>
      </w:r>
      <w:r w:rsidRPr="00D72DB6">
        <w:t xml:space="preserve"> organizuan në datat 14-15 nëntor 2017 trajnimin me temë "Rregullorja e Përgjithshme e Mbrojtjes së të Dhënave Personale, ndikimi në vendet kandidate për anëtarësim në BE".</w:t>
      </w:r>
      <w:r w:rsidRPr="00D72DB6">
        <w:rPr>
          <w:color w:val="FF0000"/>
        </w:rPr>
        <w:t xml:space="preserve"> </w:t>
      </w:r>
      <w:r w:rsidRPr="00D72DB6">
        <w:t xml:space="preserve">Misioni u fokusua në risitë që sjell Rregullorja e Përgjithshme e Mbrojtjes së të Dhënave të BE-së si dhe Direktiva e re e BE-së  nr. 680/2016 në raport me legjislacionin evropian në fuqi dhe në marrëdhëniet me palë të treta. </w:t>
      </w:r>
    </w:p>
    <w:p w:rsidR="00D72DB6" w:rsidRPr="00D72DB6" w:rsidRDefault="00D72DB6" w:rsidP="00D72DB6">
      <w:pPr>
        <w:spacing w:after="0" w:line="360" w:lineRule="auto"/>
        <w:jc w:val="both"/>
        <w:rPr>
          <w:rFonts w:ascii="Times New Roman" w:hAnsi="Times New Roman"/>
          <w:b/>
          <w:sz w:val="24"/>
          <w:szCs w:val="24"/>
        </w:rPr>
      </w:pPr>
    </w:p>
    <w:p w:rsidR="00D72DB6" w:rsidRPr="00D72DB6" w:rsidRDefault="00D72DB6" w:rsidP="00D72DB6">
      <w:pPr>
        <w:pStyle w:val="ListParagraph"/>
        <w:numPr>
          <w:ilvl w:val="0"/>
          <w:numId w:val="16"/>
        </w:numPr>
        <w:spacing w:after="240"/>
        <w:ind w:left="450" w:hanging="450"/>
        <w:jc w:val="both"/>
        <w:rPr>
          <w:rFonts w:ascii="Times New Roman" w:hAnsi="Times New Roman"/>
          <w:b/>
          <w:sz w:val="24"/>
          <w:szCs w:val="24"/>
        </w:rPr>
      </w:pPr>
      <w:r w:rsidRPr="00D72DB6">
        <w:rPr>
          <w:rFonts w:ascii="Times New Roman" w:hAnsi="Times New Roman"/>
          <w:b/>
          <w:sz w:val="24"/>
          <w:szCs w:val="24"/>
        </w:rPr>
        <w:t xml:space="preserve"> Bashkëpunimi me T-PD, WP29 dhe Grupi i Berlinit</w:t>
      </w:r>
    </w:p>
    <w:p w:rsidR="00D72DB6" w:rsidRPr="00D72DB6" w:rsidRDefault="00D72DB6" w:rsidP="00D72DB6">
      <w:pPr>
        <w:spacing w:after="240" w:line="360" w:lineRule="auto"/>
        <w:jc w:val="both"/>
        <w:rPr>
          <w:rFonts w:ascii="Times New Roman" w:hAnsi="Times New Roman"/>
          <w:sz w:val="24"/>
          <w:szCs w:val="24"/>
        </w:rPr>
      </w:pPr>
      <w:r w:rsidRPr="00D72DB6">
        <w:rPr>
          <w:rFonts w:ascii="Times New Roman" w:hAnsi="Times New Roman"/>
          <w:sz w:val="24"/>
          <w:szCs w:val="24"/>
        </w:rPr>
        <w:t xml:space="preserve">Në kuadër të marrëdhënieve ndërkombëtare, Zyra e Komisionerit mori pjesë në takimet e Grupit të Punës së Nenit 29 (WP29) dhe në T-PD (Komitetin Konsultativ të Konventës nr. 108 </w:t>
      </w:r>
      <w:r w:rsidRPr="00D72DB6">
        <w:rPr>
          <w:rFonts w:ascii="Times New Roman" w:hAnsi="Times New Roman"/>
          <w:sz w:val="24"/>
          <w:szCs w:val="24"/>
          <w:lang w:eastAsia="en-GB"/>
        </w:rPr>
        <w:t>"Për mbrojtjen e individëve në lidhje me përpunimin automatik të të dhënave personale"</w:t>
      </w:r>
      <w:r w:rsidRPr="00D72DB6">
        <w:rPr>
          <w:rFonts w:ascii="Times New Roman" w:hAnsi="Times New Roman"/>
          <w:sz w:val="24"/>
          <w:szCs w:val="24"/>
        </w:rPr>
        <w:t>). Në këto takime është diskutuar kryesisht për opinione që pritet të miratohen në fushën e policisë dhe atë të shëndetësisë, etj. Është marrë pjesë edhe në konferencën e dytë të mbikëqyrjes së inteligjencës 2017 (</w:t>
      </w:r>
      <w:r w:rsidRPr="00D72DB6">
        <w:rPr>
          <w:rFonts w:ascii="Times New Roman" w:hAnsi="Times New Roman"/>
          <w:i/>
          <w:iCs/>
          <w:sz w:val="24"/>
          <w:szCs w:val="24"/>
        </w:rPr>
        <w:t>International Intelligence Oversight Forum 2017</w:t>
      </w:r>
      <w:r w:rsidRPr="00D72DB6">
        <w:rPr>
          <w:rFonts w:ascii="Times New Roman" w:hAnsi="Times New Roman"/>
          <w:sz w:val="24"/>
          <w:szCs w:val="24"/>
        </w:rPr>
        <w:t>) me temë</w:t>
      </w:r>
      <w:r w:rsidRPr="00D72DB6">
        <w:rPr>
          <w:rFonts w:ascii="Times New Roman" w:hAnsi="Times New Roman"/>
          <w:iCs/>
          <w:sz w:val="24"/>
          <w:szCs w:val="24"/>
        </w:rPr>
        <w:t xml:space="preserve"> "Dilemat dhe praktikat më të mira në mbikëqyrjen e inteligjencës"</w:t>
      </w:r>
      <w:r w:rsidRPr="00D72DB6">
        <w:rPr>
          <w:rFonts w:ascii="Times New Roman" w:hAnsi="Times New Roman"/>
          <w:sz w:val="24"/>
          <w:szCs w:val="24"/>
        </w:rPr>
        <w:t>. Gjithashtu, në nëntor 2017 është marrë pjesë në Takimin e 62-të të Grupit Ndërkombëtar të Punës për Mbrojtjen e të Dhënave në Telekomunikacione (Grupi i Berlinit).</w:t>
      </w:r>
    </w:p>
    <w:p w:rsidR="00D72DB6" w:rsidRPr="00D72DB6" w:rsidRDefault="00D72DB6" w:rsidP="00D72DB6">
      <w:pPr>
        <w:pStyle w:val="ListParagraph"/>
        <w:numPr>
          <w:ilvl w:val="0"/>
          <w:numId w:val="16"/>
        </w:numPr>
        <w:spacing w:after="240"/>
        <w:ind w:left="360"/>
        <w:jc w:val="both"/>
        <w:rPr>
          <w:rFonts w:ascii="Times New Roman" w:hAnsi="Times New Roman"/>
          <w:b/>
          <w:color w:val="222222"/>
          <w:sz w:val="24"/>
          <w:szCs w:val="24"/>
        </w:rPr>
      </w:pPr>
      <w:r w:rsidRPr="00D72DB6">
        <w:rPr>
          <w:rFonts w:ascii="Times New Roman" w:hAnsi="Times New Roman"/>
          <w:b/>
          <w:sz w:val="24"/>
          <w:szCs w:val="24"/>
        </w:rPr>
        <w:t>Bashkëpunimi me Këshillin e Evropës</w:t>
      </w:r>
    </w:p>
    <w:p w:rsidR="00D72DB6" w:rsidRPr="00D72DB6" w:rsidRDefault="00D72DB6" w:rsidP="00D72DB6">
      <w:pPr>
        <w:shd w:val="clear" w:color="auto" w:fill="FFFFFF"/>
        <w:spacing w:after="240" w:line="360" w:lineRule="auto"/>
        <w:jc w:val="both"/>
        <w:rPr>
          <w:rFonts w:ascii="Times New Roman" w:eastAsia="Times New Roman" w:hAnsi="Times New Roman"/>
          <w:color w:val="000000" w:themeColor="text1"/>
          <w:sz w:val="24"/>
          <w:szCs w:val="24"/>
        </w:rPr>
      </w:pPr>
      <w:r w:rsidRPr="00D72DB6">
        <w:rPr>
          <w:rFonts w:ascii="Times New Roman" w:eastAsia="Times New Roman" w:hAnsi="Times New Roman"/>
          <w:color w:val="000000" w:themeColor="text1"/>
          <w:sz w:val="24"/>
          <w:szCs w:val="24"/>
        </w:rPr>
        <w:t xml:space="preserve">Zyra e Komisionerit në bashkëpunim me Këshillin e Evropës organizuan në 5 dhjetor 2017 seminarin me temë “Mbrojtja e privatësisë në media” me ekspertë në fushën e mbrojtjes së të dhënave personale. </w:t>
      </w:r>
    </w:p>
    <w:p w:rsidR="00D72DB6" w:rsidRPr="00D72DB6" w:rsidRDefault="00D72DB6" w:rsidP="00D72DB6">
      <w:pPr>
        <w:pStyle w:val="ListParagraph"/>
        <w:numPr>
          <w:ilvl w:val="0"/>
          <w:numId w:val="16"/>
        </w:numPr>
        <w:spacing w:after="240"/>
        <w:ind w:left="360"/>
        <w:jc w:val="both"/>
        <w:rPr>
          <w:rFonts w:ascii="Times New Roman" w:hAnsi="Times New Roman"/>
          <w:b/>
          <w:sz w:val="24"/>
          <w:szCs w:val="24"/>
        </w:rPr>
      </w:pPr>
      <w:r w:rsidRPr="00D72DB6">
        <w:rPr>
          <w:rFonts w:ascii="Times New Roman" w:hAnsi="Times New Roman"/>
          <w:b/>
          <w:sz w:val="24"/>
          <w:szCs w:val="24"/>
        </w:rPr>
        <w:t>Pjesëmarrje në Konferencën Evropiane dhe Botërore të Komisionerëve të të drejtës për informim</w:t>
      </w:r>
    </w:p>
    <w:p w:rsidR="00D72DB6" w:rsidRPr="00D72DB6" w:rsidRDefault="00D72DB6" w:rsidP="00D72DB6">
      <w:pPr>
        <w:tabs>
          <w:tab w:val="left" w:pos="180"/>
          <w:tab w:val="left" w:pos="360"/>
          <w:tab w:val="left" w:pos="1170"/>
        </w:tabs>
        <w:spacing w:after="240" w:line="360" w:lineRule="auto"/>
        <w:jc w:val="both"/>
        <w:rPr>
          <w:rFonts w:ascii="Times New Roman" w:hAnsi="Times New Roman"/>
          <w:sz w:val="24"/>
          <w:szCs w:val="24"/>
        </w:rPr>
      </w:pPr>
      <w:r w:rsidRPr="00D72DB6">
        <w:rPr>
          <w:rFonts w:ascii="Times New Roman" w:hAnsi="Times New Roman"/>
          <w:color w:val="000000" w:themeColor="text1"/>
          <w:sz w:val="24"/>
          <w:szCs w:val="24"/>
        </w:rPr>
        <w:t xml:space="preserve">Përfaqësues të Zyrës së Komisionerit kanë marrë pjesë në Konferencën Evropiane dhe Botërore të Komisionerëve të të drejtës për informim. Përfaqësuesit e Zyrës mbajtën në të dy konferencat nga një prezantim lidhur me zhvillimin e të drejtës për informim në Shqipëri si dhe diskutuan mbi rastet dhe praktikën e krijuar. </w:t>
      </w:r>
    </w:p>
    <w:p w:rsidR="00D72DB6" w:rsidRPr="00D72DB6" w:rsidRDefault="00D72DB6" w:rsidP="00D72DB6">
      <w:pPr>
        <w:pStyle w:val="ListParagraph"/>
        <w:numPr>
          <w:ilvl w:val="0"/>
          <w:numId w:val="18"/>
        </w:numPr>
        <w:spacing w:after="240"/>
        <w:jc w:val="both"/>
        <w:rPr>
          <w:rFonts w:ascii="Times New Roman" w:hAnsi="Times New Roman"/>
          <w:b/>
          <w:sz w:val="24"/>
          <w:szCs w:val="24"/>
        </w:rPr>
      </w:pPr>
      <w:r w:rsidRPr="00D72DB6">
        <w:rPr>
          <w:rFonts w:ascii="Times New Roman" w:hAnsi="Times New Roman"/>
          <w:b/>
          <w:sz w:val="24"/>
          <w:szCs w:val="24"/>
        </w:rPr>
        <w:t>Pjesëmarrje në Konferencën ndërkombëtare “Mbrojtja e të dhënave dhe e drejta e informimit – në kontradiktë apo në mbështetje të njëra-tjetrës?”</w:t>
      </w:r>
    </w:p>
    <w:p w:rsidR="00D72DB6" w:rsidRPr="00D72DB6" w:rsidRDefault="00D72DB6" w:rsidP="00D72DB6">
      <w:pPr>
        <w:pStyle w:val="NoSpacing"/>
        <w:spacing w:after="240" w:line="360" w:lineRule="auto"/>
        <w:jc w:val="both"/>
        <w:rPr>
          <w:lang w:val="sq-AL"/>
        </w:rPr>
      </w:pPr>
      <w:r w:rsidRPr="00D72DB6">
        <w:rPr>
          <w:lang w:val="sq-AL"/>
        </w:rPr>
        <w:lastRenderedPageBreak/>
        <w:t xml:space="preserve">Përfaqësues të Zyrës së Komisionerit mbajtën një prezantim në Konferencën ndërkombëtare “Mbrojtja e të dhënave dhe e drejta e informimit – në kontradiktë apo në mbështetje të njëra-tjetrës?”, organizuar nga Komisioneri për të Drejtën e Informimit dhe Mbrojtjen e të Dhënave Personale të Shtetit të Brandenburgut në Gjermani. </w:t>
      </w:r>
    </w:p>
    <w:p w:rsidR="00D72DB6" w:rsidRPr="00D72DB6" w:rsidRDefault="00D72DB6" w:rsidP="00D72DB6">
      <w:pPr>
        <w:pStyle w:val="ListParagraph"/>
        <w:numPr>
          <w:ilvl w:val="0"/>
          <w:numId w:val="18"/>
        </w:numPr>
        <w:spacing w:after="240"/>
        <w:ind w:left="357" w:hanging="357"/>
        <w:jc w:val="both"/>
        <w:rPr>
          <w:rFonts w:ascii="Times New Roman" w:hAnsi="Times New Roman"/>
          <w:b/>
          <w:sz w:val="24"/>
          <w:szCs w:val="24"/>
        </w:rPr>
      </w:pPr>
      <w:r w:rsidRPr="00D72DB6">
        <w:rPr>
          <w:rFonts w:ascii="Times New Roman" w:hAnsi="Times New Roman"/>
          <w:b/>
          <w:sz w:val="24"/>
          <w:szCs w:val="24"/>
        </w:rPr>
        <w:t>Bashkëpunimi me Shoqatën e Frankofonisë</w:t>
      </w:r>
    </w:p>
    <w:p w:rsidR="00D72DB6" w:rsidRPr="00D72DB6" w:rsidRDefault="00D72DB6" w:rsidP="00D72DB6">
      <w:pPr>
        <w:shd w:val="clear" w:color="auto" w:fill="FFFFFF"/>
        <w:spacing w:after="240" w:line="360" w:lineRule="auto"/>
        <w:jc w:val="both"/>
        <w:rPr>
          <w:rFonts w:ascii="Times New Roman" w:eastAsia="Times New Roman" w:hAnsi="Times New Roman"/>
          <w:color w:val="000000" w:themeColor="text1"/>
          <w:sz w:val="24"/>
          <w:szCs w:val="24"/>
        </w:rPr>
      </w:pPr>
      <w:r w:rsidRPr="00D72DB6">
        <w:rPr>
          <w:rFonts w:ascii="Times New Roman" w:eastAsia="Times New Roman" w:hAnsi="Times New Roman"/>
          <w:color w:val="000000" w:themeColor="text1"/>
          <w:sz w:val="24"/>
          <w:szCs w:val="24"/>
        </w:rPr>
        <w:t xml:space="preserve">Në kuadër të 10 vjetorit të themelimit të Shoqatës Frankofone të Autoriteteve të Mbrojtjes së të Dhënave Personale (AFAPDP) anëtare e së cilës është edhe Zyra e Komisionerit, u përgatit në frëngjisht një artikull me disa nga arritjet më të rëndësishme të KDIMDP-së gjatë periudhës së anëtarësimit në këtë organizëm, i cili u përfshi në një botim që u publikua dhe prezantua gjatë aktiviteteve të organizuara për këtë përvjetor. </w:t>
      </w:r>
    </w:p>
    <w:p w:rsidR="00D72DB6" w:rsidRPr="00D72DB6" w:rsidRDefault="00D72DB6" w:rsidP="00D72DB6">
      <w:pPr>
        <w:pStyle w:val="ListParagraph"/>
        <w:numPr>
          <w:ilvl w:val="0"/>
          <w:numId w:val="16"/>
        </w:numPr>
        <w:spacing w:after="240"/>
        <w:ind w:left="360"/>
        <w:jc w:val="both"/>
        <w:rPr>
          <w:rFonts w:ascii="Times New Roman" w:hAnsi="Times New Roman"/>
          <w:b/>
          <w:sz w:val="24"/>
          <w:szCs w:val="24"/>
        </w:rPr>
      </w:pPr>
      <w:r w:rsidRPr="00D72DB6">
        <w:rPr>
          <w:rFonts w:ascii="Times New Roman" w:hAnsi="Times New Roman"/>
          <w:b/>
          <w:sz w:val="24"/>
          <w:szCs w:val="24"/>
        </w:rPr>
        <w:t>Manuali i së Drejtës Evropiane në Fushën e Mbrojtjes së të Dhënave</w:t>
      </w:r>
    </w:p>
    <w:p w:rsidR="00D72DB6" w:rsidRPr="00D72DB6" w:rsidRDefault="00D72DB6" w:rsidP="00D72DB6">
      <w:pPr>
        <w:shd w:val="clear" w:color="auto" w:fill="FFFFFF"/>
        <w:spacing w:after="480" w:line="360" w:lineRule="auto"/>
        <w:jc w:val="both"/>
        <w:textAlignment w:val="baseline"/>
        <w:rPr>
          <w:rFonts w:ascii="Times New Roman" w:eastAsia="Times New Roman" w:hAnsi="Times New Roman"/>
          <w:sz w:val="24"/>
          <w:szCs w:val="24"/>
          <w:lang w:eastAsia="sq-AL"/>
        </w:rPr>
      </w:pPr>
      <w:r w:rsidRPr="00D72DB6">
        <w:rPr>
          <w:rFonts w:ascii="Times New Roman" w:eastAsia="Times New Roman" w:hAnsi="Times New Roman"/>
          <w:sz w:val="24"/>
          <w:szCs w:val="24"/>
          <w:lang w:eastAsia="sq-AL"/>
        </w:rPr>
        <w:t>Në vijim të publikimeve të Zyrës së Komisionerit, u përgatit për botim në gjuhën shqipe “</w:t>
      </w:r>
      <w:r w:rsidRPr="00D72DB6">
        <w:rPr>
          <w:rFonts w:ascii="Times New Roman" w:eastAsia="Times New Roman" w:hAnsi="Times New Roman"/>
          <w:bCs/>
          <w:i/>
          <w:sz w:val="24"/>
          <w:szCs w:val="24"/>
          <w:lang w:eastAsia="sq-AL"/>
        </w:rPr>
        <w:t>Manuali i së Drejtës Evropiane në Fushën e Mbrojtjes së të Dhënave</w:t>
      </w:r>
      <w:r w:rsidRPr="00D72DB6">
        <w:rPr>
          <w:rFonts w:ascii="Times New Roman" w:eastAsia="Times New Roman" w:hAnsi="Times New Roman"/>
          <w:sz w:val="24"/>
          <w:szCs w:val="24"/>
          <w:lang w:eastAsia="sq-AL"/>
        </w:rPr>
        <w:t>”. Ky botim i hartuar bashkërisht nga Agjencia e të Drejtave Themelore të Bashkimit Evropian (ADTH), Këshilli i Evropës dhe Zyra e Kancelarit të Gjykatës Evropiane të së Drejtave të Njeriut, është deri më tani përmbledhja më e plotë e jurisprudencës së Këshillit të Evropës dhe Bashkimit Evropian në fushën e mbrojtjes së të dhënave personale, origjinali anglisht dhe frëngjisht i së cilës është përkthyer në 23 gjuhë të ndryshme.</w:t>
      </w:r>
    </w:p>
    <w:p w:rsidR="00D72DB6" w:rsidRPr="00D72DB6" w:rsidRDefault="00D72DB6" w:rsidP="00D72DB6">
      <w:pPr>
        <w:pStyle w:val="Heading1"/>
        <w:numPr>
          <w:ilvl w:val="0"/>
          <w:numId w:val="17"/>
        </w:numPr>
        <w:spacing w:after="240"/>
        <w:rPr>
          <w:rFonts w:ascii="Times New Roman" w:hAnsi="Times New Roman" w:cs="Times New Roman"/>
          <w:b/>
          <w:sz w:val="24"/>
          <w:szCs w:val="24"/>
        </w:rPr>
      </w:pPr>
      <w:bookmarkStart w:id="33" w:name="_Toc507424905"/>
      <w:r w:rsidRPr="00D72DB6">
        <w:rPr>
          <w:rFonts w:ascii="Times New Roman" w:hAnsi="Times New Roman" w:cs="Times New Roman"/>
          <w:b/>
          <w:sz w:val="24"/>
          <w:szCs w:val="24"/>
          <w:shd w:val="clear" w:color="auto" w:fill="FFFFFF"/>
        </w:rPr>
        <w:t>MENAXHIMI BUXHETOR</w:t>
      </w:r>
      <w:bookmarkEnd w:id="33"/>
    </w:p>
    <w:p w:rsidR="00D72DB6" w:rsidRPr="00D72DB6" w:rsidRDefault="00D72DB6" w:rsidP="00D72DB6">
      <w:pPr>
        <w:pStyle w:val="ListParagraph"/>
        <w:numPr>
          <w:ilvl w:val="0"/>
          <w:numId w:val="16"/>
        </w:numPr>
        <w:spacing w:after="300"/>
        <w:ind w:left="360"/>
        <w:jc w:val="both"/>
        <w:rPr>
          <w:rFonts w:ascii="Times New Roman" w:hAnsi="Times New Roman"/>
          <w:b/>
          <w:sz w:val="24"/>
          <w:szCs w:val="24"/>
        </w:rPr>
      </w:pPr>
      <w:r w:rsidRPr="00D72DB6">
        <w:rPr>
          <w:rFonts w:ascii="Times New Roman" w:hAnsi="Times New Roman"/>
          <w:b/>
          <w:sz w:val="24"/>
          <w:szCs w:val="24"/>
        </w:rPr>
        <w:t>Ndjekja dhe zbatimi i  praktikave mbi menaxhimin e burimeve njerëzore</w:t>
      </w:r>
    </w:p>
    <w:p w:rsidR="00D72DB6" w:rsidRPr="00D72DB6" w:rsidRDefault="00D72DB6" w:rsidP="00D72DB6">
      <w:pPr>
        <w:spacing w:after="300" w:line="360" w:lineRule="auto"/>
        <w:jc w:val="both"/>
        <w:rPr>
          <w:rFonts w:ascii="Times New Roman" w:hAnsi="Times New Roman"/>
          <w:color w:val="000000"/>
          <w:sz w:val="24"/>
          <w:szCs w:val="24"/>
        </w:rPr>
      </w:pPr>
      <w:r w:rsidRPr="00D72DB6">
        <w:rPr>
          <w:rFonts w:ascii="Times New Roman" w:hAnsi="Times New Roman"/>
          <w:color w:val="000000"/>
          <w:sz w:val="24"/>
          <w:szCs w:val="24"/>
        </w:rPr>
        <w:t xml:space="preserve">Zbatimi dhe respektimi i legjislacionit të shërbimit civil ka qenë një nga aspektet kryesore të menaxhimit në tërësi. </w:t>
      </w:r>
      <w:r w:rsidRPr="00D72DB6">
        <w:rPr>
          <w:rFonts w:ascii="Times New Roman" w:hAnsi="Times New Roman"/>
          <w:sz w:val="24"/>
          <w:szCs w:val="24"/>
        </w:rPr>
        <w:t xml:space="preserve">Edhe pse kërkesat për shtim të kapaciteteve janë bërë prezentë vit pas viti, gjatë hartimit të kërkesave buxhetore PBA, struktura organizative e Zyrës së Komisionerit, për vitin 2017  mbeti e njëjtë në numër, 35 punonjës. </w:t>
      </w:r>
      <w:r w:rsidRPr="00D72DB6">
        <w:rPr>
          <w:rFonts w:ascii="Times New Roman" w:hAnsi="Times New Roman"/>
          <w:color w:val="0D0D0D" w:themeColor="text1" w:themeTint="F2"/>
          <w:sz w:val="24"/>
          <w:szCs w:val="24"/>
        </w:rPr>
        <w:t>Zyrës së Komisionerit, ju mundësua rekrutimi i 6 (gjashtë) punonjësve me kontratë të përkohshme pune.</w:t>
      </w:r>
    </w:p>
    <w:p w:rsidR="00D72DB6" w:rsidRPr="00D72DB6" w:rsidRDefault="00D72DB6" w:rsidP="00D72DB6">
      <w:pPr>
        <w:pStyle w:val="Title"/>
        <w:spacing w:after="300" w:line="360" w:lineRule="auto"/>
        <w:jc w:val="both"/>
        <w:rPr>
          <w:rFonts w:ascii="Times New Roman" w:hAnsi="Times New Roman"/>
          <w:sz w:val="24"/>
          <w:szCs w:val="24"/>
          <w:lang w:val="sq-AL"/>
        </w:rPr>
      </w:pPr>
      <w:r w:rsidRPr="00D72DB6">
        <w:rPr>
          <w:rFonts w:ascii="Times New Roman" w:hAnsi="Times New Roman"/>
          <w:sz w:val="24"/>
          <w:szCs w:val="24"/>
          <w:lang w:val="sq-AL"/>
        </w:rPr>
        <w:t xml:space="preserve">Është punuar në vazhdimësi për rritjen e kapaciteteve dhe ngritjen profesionale të stafit të Zyrës së Komisionerit.  Në zbatim të  Planit Vjetor të Trajnimeve, punonjësit u përfshinë në një proces trajnimesh, brenda dhe jashtë vendit, të cilat mundësuan shkëmbimin e eksperiencës dhe njohjen me praktikat më të mira. </w:t>
      </w:r>
    </w:p>
    <w:p w:rsidR="00D72DB6" w:rsidRPr="00D72DB6" w:rsidRDefault="00D72DB6" w:rsidP="00D72DB6">
      <w:pPr>
        <w:pStyle w:val="ListParagraph"/>
        <w:numPr>
          <w:ilvl w:val="0"/>
          <w:numId w:val="16"/>
        </w:numPr>
        <w:spacing w:after="300"/>
        <w:ind w:left="360"/>
        <w:jc w:val="both"/>
        <w:rPr>
          <w:rFonts w:ascii="Times New Roman" w:hAnsi="Times New Roman"/>
          <w:b/>
          <w:sz w:val="24"/>
          <w:szCs w:val="24"/>
        </w:rPr>
      </w:pPr>
      <w:r w:rsidRPr="00D72DB6">
        <w:rPr>
          <w:rFonts w:ascii="Times New Roman" w:hAnsi="Times New Roman"/>
          <w:b/>
          <w:sz w:val="24"/>
          <w:szCs w:val="24"/>
        </w:rPr>
        <w:lastRenderedPageBreak/>
        <w:t>Fondi buxhetor dhe realizimi</w:t>
      </w:r>
    </w:p>
    <w:p w:rsidR="00D72DB6" w:rsidRPr="00D72DB6" w:rsidRDefault="00D72DB6" w:rsidP="00D72DB6">
      <w:pPr>
        <w:spacing w:after="300" w:line="360" w:lineRule="auto"/>
        <w:jc w:val="both"/>
        <w:rPr>
          <w:rFonts w:ascii="Times New Roman" w:hAnsi="Times New Roman"/>
          <w:sz w:val="24"/>
          <w:szCs w:val="24"/>
        </w:rPr>
      </w:pPr>
      <w:r w:rsidRPr="00D72DB6">
        <w:rPr>
          <w:rFonts w:ascii="Times New Roman" w:hAnsi="Times New Roman"/>
          <w:sz w:val="24"/>
          <w:szCs w:val="24"/>
        </w:rPr>
        <w:t xml:space="preserve">Nga fondi i përgjithshëm buxhetor i planifikuar për vitin 2017, me ndryshimet e kryera gjatë vitit, Zyra e Komisionerit ka shpenzuar </w:t>
      </w:r>
      <w:r w:rsidRPr="00D72DB6">
        <w:rPr>
          <w:rFonts w:ascii="Times New Roman" w:hAnsi="Times New Roman"/>
          <w:b/>
          <w:i/>
          <w:sz w:val="24"/>
          <w:szCs w:val="24"/>
        </w:rPr>
        <w:t>vlerën buxhetore 63.618 (në mijë lekë)</w:t>
      </w:r>
      <w:r w:rsidRPr="00D72DB6">
        <w:rPr>
          <w:rFonts w:ascii="Times New Roman" w:hAnsi="Times New Roman"/>
          <w:sz w:val="24"/>
          <w:szCs w:val="24"/>
        </w:rPr>
        <w:t xml:space="preserve">. Është realizuar buxheti në tërësi në masën 97%, kundrejt planit vjetor, të ndryshuar. </w:t>
      </w:r>
    </w:p>
    <w:p w:rsidR="00D72DB6" w:rsidRPr="00D72DB6" w:rsidRDefault="00D72DB6" w:rsidP="00D72DB6">
      <w:pPr>
        <w:spacing w:after="300" w:line="360" w:lineRule="auto"/>
        <w:jc w:val="both"/>
        <w:rPr>
          <w:rFonts w:ascii="Times New Roman" w:hAnsi="Times New Roman"/>
          <w:color w:val="0D0D0D"/>
          <w:sz w:val="24"/>
          <w:szCs w:val="24"/>
        </w:rPr>
      </w:pPr>
      <w:r w:rsidRPr="00D72DB6">
        <w:rPr>
          <w:rFonts w:ascii="Times New Roman" w:hAnsi="Times New Roman"/>
          <w:sz w:val="24"/>
          <w:szCs w:val="24"/>
        </w:rPr>
        <w:t xml:space="preserve">Gjatë paraqitjes së kërkesave buxhetore në PBA-në 2017-2019 është kërkuar rritje e tij. Buxheti i akorduar nuk ka qenë i mjaftueshëm për mbulimin e disa projekteve të Zyrës së  Komisionerit. </w:t>
      </w:r>
    </w:p>
    <w:p w:rsidR="00D72DB6" w:rsidRPr="00D72DB6" w:rsidRDefault="00D72DB6" w:rsidP="00D72DB6">
      <w:pPr>
        <w:spacing w:after="240" w:line="360" w:lineRule="auto"/>
        <w:jc w:val="both"/>
        <w:rPr>
          <w:rFonts w:ascii="Times New Roman" w:hAnsi="Times New Roman"/>
          <w:sz w:val="24"/>
          <w:szCs w:val="24"/>
        </w:rPr>
      </w:pPr>
      <w:r w:rsidRPr="00D72DB6">
        <w:rPr>
          <w:rFonts w:ascii="Times New Roman" w:hAnsi="Times New Roman"/>
          <w:sz w:val="24"/>
          <w:szCs w:val="24"/>
        </w:rPr>
        <w:t xml:space="preserve">Në zbatim të planit për shpenzime dhe investime, Zyra e Komisionerit ka hartuar e zbatuar edhe planin e prokurimeve, i cili gjatë vitit 2017, përmbante 2 procedura prokurimi me tenderim, ndërsa mbulimi i nevojave të tjera është realizuar nëpërmjet prokurimeve me vlera të vogla. </w:t>
      </w:r>
    </w:p>
    <w:p w:rsidR="00D72DB6" w:rsidRPr="00D72DB6" w:rsidRDefault="00D72DB6" w:rsidP="00D72DB6">
      <w:pPr>
        <w:pStyle w:val="Title"/>
        <w:spacing w:after="240" w:line="360" w:lineRule="auto"/>
        <w:jc w:val="both"/>
        <w:rPr>
          <w:rFonts w:ascii="Times New Roman" w:hAnsi="Times New Roman"/>
          <w:sz w:val="24"/>
          <w:szCs w:val="24"/>
          <w:lang w:val="sq-AL"/>
        </w:rPr>
      </w:pPr>
      <w:r w:rsidRPr="00D72DB6">
        <w:rPr>
          <w:rFonts w:ascii="Times New Roman" w:hAnsi="Times New Roman"/>
          <w:sz w:val="24"/>
          <w:szCs w:val="24"/>
          <w:lang w:val="sq-AL"/>
        </w:rPr>
        <w:t>Zyra e Komisionerit ka ngritur sistemin e menaxhimit financiar dhe kontrollit, i cili është mbështetur në ligjin nr. 10296, datë 08.07.2010 ”Mbi menaxhimin financiar e kontrollin”, i ndryshuar si dhe në parimet e menaxhimit të fondeve publike me efektivitetet, transparencë, ekonomi dhe eficensë.</w:t>
      </w:r>
    </w:p>
    <w:p w:rsidR="00D72DB6" w:rsidRPr="00D72DB6" w:rsidRDefault="00D72DB6" w:rsidP="00D72DB6">
      <w:pPr>
        <w:spacing w:after="40" w:line="360" w:lineRule="auto"/>
        <w:jc w:val="both"/>
        <w:rPr>
          <w:rFonts w:ascii="Times New Roman" w:hAnsi="Times New Roman"/>
          <w:sz w:val="24"/>
          <w:szCs w:val="24"/>
        </w:rPr>
      </w:pPr>
      <w:r w:rsidRPr="00D72DB6">
        <w:rPr>
          <w:rFonts w:ascii="Times New Roman" w:hAnsi="Times New Roman"/>
          <w:sz w:val="24"/>
          <w:szCs w:val="24"/>
        </w:rPr>
        <w:t>Në grafikun e mëposhtëm pasqyrohet në %, çdo kategori shpenzimesh, përkundrejt totalit të buxhetit, si dhe realizimi në % dhe vlerë, i secilës kategori shpenzimesh, përkundrejt buxhetit të akorduar.</w:t>
      </w:r>
    </w:p>
    <w:p w:rsidR="00D72DB6" w:rsidRPr="00D72DB6" w:rsidRDefault="00D72DB6" w:rsidP="00D72DB6">
      <w:pPr>
        <w:spacing w:after="40" w:line="360" w:lineRule="auto"/>
        <w:jc w:val="both"/>
        <w:rPr>
          <w:rFonts w:ascii="Times New Roman" w:hAnsi="Times New Roman"/>
          <w:sz w:val="24"/>
          <w:szCs w:val="24"/>
        </w:rPr>
      </w:pPr>
    </w:p>
    <w:p w:rsidR="00D72DB6" w:rsidRPr="00D72DB6" w:rsidRDefault="00D72DB6" w:rsidP="00D72DB6">
      <w:pPr>
        <w:pStyle w:val="BodyText3"/>
        <w:spacing w:after="240" w:line="360" w:lineRule="auto"/>
        <w:jc w:val="center"/>
        <w:rPr>
          <w:b/>
          <w:color w:val="244061"/>
          <w:sz w:val="24"/>
          <w:szCs w:val="24"/>
          <w:lang w:val="sq-AL"/>
        </w:rPr>
      </w:pPr>
      <w:r w:rsidRPr="00D72DB6">
        <w:rPr>
          <w:b/>
          <w:color w:val="244061"/>
          <w:sz w:val="24"/>
          <w:szCs w:val="24"/>
          <w:lang w:val="sq-AL"/>
        </w:rPr>
        <w:t>TABELA E AKORDIMIT TË BUXHETIT DHE REALIZIMIT</w:t>
      </w:r>
    </w:p>
    <w:p w:rsidR="00D72DB6" w:rsidRPr="00D72DB6" w:rsidRDefault="00D72DB6" w:rsidP="00D72DB6">
      <w:pPr>
        <w:pStyle w:val="BodyText3"/>
        <w:spacing w:after="240" w:line="360" w:lineRule="auto"/>
        <w:ind w:left="1440" w:firstLine="720"/>
        <w:rPr>
          <w:b/>
          <w:color w:val="244061"/>
          <w:sz w:val="24"/>
          <w:szCs w:val="24"/>
          <w:lang w:val="sq-AL"/>
        </w:rPr>
      </w:pPr>
      <w:r w:rsidRPr="00D72DB6">
        <w:rPr>
          <w:b/>
          <w:color w:val="244061"/>
          <w:sz w:val="24"/>
          <w:szCs w:val="24"/>
          <w:lang w:val="sq-AL"/>
        </w:rPr>
        <w:t xml:space="preserve">VITI </w:t>
      </w:r>
      <w:r w:rsidRPr="00D72DB6">
        <w:rPr>
          <w:b/>
          <w:color w:val="244061"/>
          <w:sz w:val="24"/>
          <w:szCs w:val="24"/>
          <w:lang w:val="sq-AL"/>
        </w:rPr>
        <w:tab/>
        <w:t>2017</w:t>
      </w:r>
      <w:r w:rsidRPr="00D72DB6">
        <w:rPr>
          <w:b/>
          <w:color w:val="215868"/>
          <w:sz w:val="24"/>
          <w:szCs w:val="24"/>
          <w:lang w:val="sq-AL"/>
        </w:rPr>
        <w:tab/>
      </w:r>
      <w:r w:rsidRPr="00D72DB6">
        <w:rPr>
          <w:color w:val="215868"/>
          <w:sz w:val="24"/>
          <w:szCs w:val="24"/>
          <w:lang w:val="sq-AL"/>
        </w:rPr>
        <w:tab/>
        <w:t xml:space="preserve">  </w:t>
      </w:r>
      <w:r w:rsidRPr="00D72DB6">
        <w:rPr>
          <w:color w:val="215868"/>
          <w:sz w:val="24"/>
          <w:szCs w:val="24"/>
          <w:lang w:val="sq-AL"/>
        </w:rPr>
        <w:tab/>
        <w:t xml:space="preserve">    </w:t>
      </w:r>
      <w:r w:rsidRPr="00D72DB6">
        <w:rPr>
          <w:b/>
          <w:color w:val="244061"/>
          <w:sz w:val="24"/>
          <w:szCs w:val="24"/>
          <w:lang w:val="sq-AL"/>
        </w:rPr>
        <w:t>000 / lekë</w:t>
      </w:r>
    </w:p>
    <w:tbl>
      <w:tblPr>
        <w:tblW w:w="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Layout w:type="fixed"/>
        <w:tblLook w:val="04A0"/>
      </w:tblPr>
      <w:tblGrid>
        <w:gridCol w:w="720"/>
        <w:gridCol w:w="2430"/>
        <w:gridCol w:w="1620"/>
        <w:gridCol w:w="1170"/>
        <w:gridCol w:w="1170"/>
        <w:gridCol w:w="1800"/>
      </w:tblGrid>
      <w:tr w:rsidR="00D72DB6" w:rsidRPr="00D72DB6" w:rsidTr="00D72DB6">
        <w:trPr>
          <w:trHeight w:val="737"/>
          <w:jc w:val="center"/>
        </w:trPr>
        <w:tc>
          <w:tcPr>
            <w:tcW w:w="72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pStyle w:val="BodyText3"/>
              <w:spacing w:after="0" w:line="360" w:lineRule="auto"/>
              <w:ind w:left="-15" w:firstLine="15"/>
              <w:rPr>
                <w:b/>
                <w:color w:val="000000"/>
                <w:sz w:val="24"/>
                <w:szCs w:val="24"/>
                <w:lang w:val="sq-AL"/>
              </w:rPr>
            </w:pPr>
            <w:r w:rsidRPr="00D72DB6">
              <w:rPr>
                <w:b/>
                <w:color w:val="000000"/>
                <w:sz w:val="24"/>
                <w:szCs w:val="24"/>
                <w:lang w:val="sq-AL"/>
              </w:rPr>
              <w:t>Nr.</w:t>
            </w:r>
          </w:p>
        </w:tc>
        <w:tc>
          <w:tcPr>
            <w:tcW w:w="243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pStyle w:val="BodyText3"/>
              <w:spacing w:after="0" w:line="360" w:lineRule="auto"/>
              <w:rPr>
                <w:b/>
                <w:color w:val="000000"/>
                <w:sz w:val="24"/>
                <w:szCs w:val="24"/>
                <w:lang w:val="sq-AL"/>
              </w:rPr>
            </w:pPr>
            <w:r w:rsidRPr="00D72DB6">
              <w:rPr>
                <w:b/>
                <w:color w:val="000000"/>
                <w:sz w:val="24"/>
                <w:szCs w:val="24"/>
                <w:lang w:val="sq-AL"/>
              </w:rPr>
              <w:t>EMËRTIMI</w:t>
            </w:r>
          </w:p>
        </w:tc>
        <w:tc>
          <w:tcPr>
            <w:tcW w:w="162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pStyle w:val="BodyText3"/>
              <w:spacing w:after="0" w:line="360" w:lineRule="auto"/>
              <w:rPr>
                <w:b/>
                <w:color w:val="000000"/>
                <w:sz w:val="24"/>
                <w:szCs w:val="24"/>
                <w:lang w:val="sq-AL"/>
              </w:rPr>
            </w:pPr>
            <w:r w:rsidRPr="00D72DB6">
              <w:rPr>
                <w:b/>
                <w:color w:val="000000"/>
                <w:sz w:val="24"/>
                <w:szCs w:val="24"/>
                <w:lang w:val="sq-AL"/>
              </w:rPr>
              <w:t>PLAN</w:t>
            </w:r>
          </w:p>
        </w:tc>
        <w:tc>
          <w:tcPr>
            <w:tcW w:w="117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pStyle w:val="BodyText3"/>
              <w:spacing w:after="0" w:line="360" w:lineRule="auto"/>
              <w:rPr>
                <w:b/>
                <w:color w:val="000000"/>
                <w:sz w:val="24"/>
                <w:szCs w:val="24"/>
                <w:lang w:val="sq-AL"/>
              </w:rPr>
            </w:pPr>
            <w:r w:rsidRPr="00D72DB6">
              <w:rPr>
                <w:b/>
                <w:color w:val="000000"/>
                <w:sz w:val="24"/>
                <w:szCs w:val="24"/>
                <w:lang w:val="sq-AL"/>
              </w:rPr>
              <w:t>%</w:t>
            </w:r>
          </w:p>
          <w:p w:rsidR="00D72DB6" w:rsidRPr="00D72DB6" w:rsidRDefault="00D72DB6">
            <w:pPr>
              <w:pStyle w:val="BodyText3"/>
              <w:spacing w:after="0" w:line="360" w:lineRule="auto"/>
              <w:rPr>
                <w:b/>
                <w:color w:val="000000"/>
                <w:sz w:val="24"/>
                <w:szCs w:val="24"/>
                <w:lang w:val="sq-AL"/>
              </w:rPr>
            </w:pPr>
            <w:r w:rsidRPr="00D72DB6">
              <w:rPr>
                <w:b/>
                <w:color w:val="000000"/>
                <w:sz w:val="24"/>
                <w:szCs w:val="24"/>
                <w:lang w:val="sq-AL"/>
              </w:rPr>
              <w:t>kundrejt totalit</w:t>
            </w:r>
          </w:p>
        </w:tc>
        <w:tc>
          <w:tcPr>
            <w:tcW w:w="117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pStyle w:val="BodyText3"/>
              <w:spacing w:after="0" w:line="360" w:lineRule="auto"/>
              <w:rPr>
                <w:b/>
                <w:color w:val="000000"/>
                <w:sz w:val="24"/>
                <w:szCs w:val="24"/>
                <w:lang w:val="sq-AL"/>
              </w:rPr>
            </w:pPr>
            <w:r w:rsidRPr="00D72DB6">
              <w:rPr>
                <w:b/>
                <w:color w:val="000000"/>
                <w:sz w:val="24"/>
                <w:szCs w:val="24"/>
                <w:lang w:val="sq-AL"/>
              </w:rPr>
              <w:t>Fakt  12 mujor</w:t>
            </w:r>
          </w:p>
        </w:tc>
        <w:tc>
          <w:tcPr>
            <w:tcW w:w="180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pStyle w:val="BodyText3"/>
              <w:spacing w:after="0" w:line="360" w:lineRule="auto"/>
              <w:rPr>
                <w:b/>
                <w:color w:val="000000"/>
                <w:sz w:val="24"/>
                <w:szCs w:val="24"/>
                <w:lang w:val="sq-AL"/>
              </w:rPr>
            </w:pPr>
            <w:r w:rsidRPr="00D72DB6">
              <w:rPr>
                <w:b/>
                <w:color w:val="000000"/>
                <w:sz w:val="24"/>
                <w:szCs w:val="24"/>
                <w:lang w:val="sq-AL"/>
              </w:rPr>
              <w:t xml:space="preserve">% realizimi kundrejt planit  vjetor </w:t>
            </w:r>
          </w:p>
        </w:tc>
      </w:tr>
      <w:tr w:rsidR="00D72DB6" w:rsidRPr="00D72DB6" w:rsidTr="00D72DB6">
        <w:trPr>
          <w:trHeight w:val="737"/>
          <w:jc w:val="center"/>
        </w:trPr>
        <w:tc>
          <w:tcPr>
            <w:tcW w:w="72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pStyle w:val="BodyText3"/>
              <w:spacing w:after="0" w:line="360" w:lineRule="auto"/>
              <w:rPr>
                <w:color w:val="000000"/>
                <w:sz w:val="24"/>
                <w:szCs w:val="24"/>
                <w:lang w:val="sq-AL"/>
              </w:rPr>
            </w:pPr>
            <w:r w:rsidRPr="00D72DB6">
              <w:rPr>
                <w:color w:val="000000"/>
                <w:sz w:val="24"/>
                <w:szCs w:val="24"/>
                <w:lang w:val="sq-AL"/>
              </w:rPr>
              <w:t>1</w:t>
            </w:r>
          </w:p>
        </w:tc>
        <w:tc>
          <w:tcPr>
            <w:tcW w:w="243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pStyle w:val="BodyText3"/>
              <w:spacing w:after="0" w:line="360" w:lineRule="auto"/>
              <w:rPr>
                <w:color w:val="000000"/>
                <w:sz w:val="24"/>
                <w:szCs w:val="24"/>
                <w:lang w:val="sq-AL"/>
              </w:rPr>
            </w:pPr>
            <w:r w:rsidRPr="00D72DB6">
              <w:rPr>
                <w:color w:val="000000"/>
                <w:sz w:val="24"/>
                <w:szCs w:val="24"/>
                <w:lang w:val="sq-AL"/>
              </w:rPr>
              <w:t>Paga</w:t>
            </w:r>
          </w:p>
        </w:tc>
        <w:tc>
          <w:tcPr>
            <w:tcW w:w="162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line="360" w:lineRule="auto"/>
              <w:jc w:val="center"/>
              <w:rPr>
                <w:rFonts w:ascii="Times New Roman" w:hAnsi="Times New Roman"/>
                <w:sz w:val="24"/>
                <w:szCs w:val="24"/>
              </w:rPr>
            </w:pPr>
            <w:r w:rsidRPr="00D72DB6">
              <w:rPr>
                <w:rFonts w:ascii="Times New Roman" w:hAnsi="Times New Roman"/>
                <w:sz w:val="24"/>
                <w:szCs w:val="24"/>
              </w:rPr>
              <w:t>36700</w:t>
            </w:r>
          </w:p>
        </w:tc>
        <w:tc>
          <w:tcPr>
            <w:tcW w:w="117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line="360" w:lineRule="auto"/>
              <w:jc w:val="center"/>
              <w:rPr>
                <w:rFonts w:ascii="Times New Roman" w:hAnsi="Times New Roman"/>
                <w:sz w:val="24"/>
                <w:szCs w:val="24"/>
              </w:rPr>
            </w:pPr>
            <w:r w:rsidRPr="00D72DB6">
              <w:rPr>
                <w:rFonts w:ascii="Times New Roman" w:hAnsi="Times New Roman"/>
                <w:sz w:val="24"/>
                <w:szCs w:val="24"/>
              </w:rPr>
              <w:t>55.9 %</w:t>
            </w:r>
          </w:p>
        </w:tc>
        <w:tc>
          <w:tcPr>
            <w:tcW w:w="117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line="360" w:lineRule="auto"/>
              <w:jc w:val="center"/>
              <w:rPr>
                <w:rFonts w:ascii="Times New Roman" w:hAnsi="Times New Roman"/>
                <w:sz w:val="24"/>
                <w:szCs w:val="24"/>
              </w:rPr>
            </w:pPr>
            <w:r w:rsidRPr="00D72DB6">
              <w:rPr>
                <w:rFonts w:ascii="Times New Roman" w:hAnsi="Times New Roman"/>
                <w:sz w:val="24"/>
                <w:szCs w:val="24"/>
              </w:rPr>
              <w:t>35.917</w:t>
            </w:r>
          </w:p>
        </w:tc>
        <w:tc>
          <w:tcPr>
            <w:tcW w:w="180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line="360" w:lineRule="auto"/>
              <w:jc w:val="center"/>
              <w:rPr>
                <w:rFonts w:ascii="Times New Roman" w:hAnsi="Times New Roman"/>
                <w:sz w:val="24"/>
                <w:szCs w:val="24"/>
              </w:rPr>
            </w:pPr>
            <w:r w:rsidRPr="00D72DB6">
              <w:rPr>
                <w:rFonts w:ascii="Times New Roman" w:hAnsi="Times New Roman"/>
                <w:sz w:val="24"/>
                <w:szCs w:val="24"/>
              </w:rPr>
              <w:t>97.8%</w:t>
            </w:r>
          </w:p>
        </w:tc>
      </w:tr>
      <w:tr w:rsidR="00D72DB6" w:rsidRPr="00D72DB6" w:rsidTr="00D72DB6">
        <w:trPr>
          <w:trHeight w:val="737"/>
          <w:jc w:val="center"/>
        </w:trPr>
        <w:tc>
          <w:tcPr>
            <w:tcW w:w="72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pStyle w:val="BodyText3"/>
              <w:spacing w:after="0" w:line="360" w:lineRule="auto"/>
              <w:rPr>
                <w:color w:val="000000"/>
                <w:sz w:val="24"/>
                <w:szCs w:val="24"/>
                <w:lang w:val="sq-AL"/>
              </w:rPr>
            </w:pPr>
            <w:r w:rsidRPr="00D72DB6">
              <w:rPr>
                <w:color w:val="000000"/>
                <w:sz w:val="24"/>
                <w:szCs w:val="24"/>
                <w:lang w:val="sq-AL"/>
              </w:rPr>
              <w:t>2</w:t>
            </w:r>
          </w:p>
        </w:tc>
        <w:tc>
          <w:tcPr>
            <w:tcW w:w="243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pStyle w:val="BodyText3"/>
              <w:spacing w:after="0" w:line="360" w:lineRule="auto"/>
              <w:rPr>
                <w:color w:val="000000"/>
                <w:sz w:val="24"/>
                <w:szCs w:val="24"/>
                <w:lang w:val="sq-AL"/>
              </w:rPr>
            </w:pPr>
            <w:r w:rsidRPr="00D72DB6">
              <w:rPr>
                <w:color w:val="000000"/>
                <w:sz w:val="24"/>
                <w:szCs w:val="24"/>
                <w:lang w:val="sq-AL"/>
              </w:rPr>
              <w:t>Sigurime shoqërore</w:t>
            </w:r>
          </w:p>
        </w:tc>
        <w:tc>
          <w:tcPr>
            <w:tcW w:w="162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line="360" w:lineRule="auto"/>
              <w:jc w:val="center"/>
              <w:rPr>
                <w:rFonts w:ascii="Times New Roman" w:hAnsi="Times New Roman"/>
                <w:sz w:val="24"/>
                <w:szCs w:val="24"/>
              </w:rPr>
            </w:pPr>
            <w:r w:rsidRPr="00D72DB6">
              <w:rPr>
                <w:rFonts w:ascii="Times New Roman" w:hAnsi="Times New Roman"/>
                <w:sz w:val="24"/>
                <w:szCs w:val="24"/>
              </w:rPr>
              <w:t>6400</w:t>
            </w:r>
          </w:p>
        </w:tc>
        <w:tc>
          <w:tcPr>
            <w:tcW w:w="117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line="360" w:lineRule="auto"/>
              <w:jc w:val="center"/>
              <w:rPr>
                <w:rFonts w:ascii="Times New Roman" w:hAnsi="Times New Roman"/>
                <w:sz w:val="24"/>
                <w:szCs w:val="24"/>
              </w:rPr>
            </w:pPr>
            <w:r w:rsidRPr="00D72DB6">
              <w:rPr>
                <w:rFonts w:ascii="Times New Roman" w:hAnsi="Times New Roman"/>
                <w:sz w:val="24"/>
                <w:szCs w:val="24"/>
              </w:rPr>
              <w:t>9.7 %</w:t>
            </w:r>
          </w:p>
        </w:tc>
        <w:tc>
          <w:tcPr>
            <w:tcW w:w="117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line="360" w:lineRule="auto"/>
              <w:jc w:val="center"/>
              <w:rPr>
                <w:rFonts w:ascii="Times New Roman" w:hAnsi="Times New Roman"/>
                <w:sz w:val="24"/>
                <w:szCs w:val="24"/>
              </w:rPr>
            </w:pPr>
            <w:r w:rsidRPr="00D72DB6">
              <w:rPr>
                <w:rFonts w:ascii="Times New Roman" w:hAnsi="Times New Roman"/>
                <w:sz w:val="24"/>
                <w:szCs w:val="24"/>
              </w:rPr>
              <w:t>5.742</w:t>
            </w:r>
          </w:p>
        </w:tc>
        <w:tc>
          <w:tcPr>
            <w:tcW w:w="180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line="360" w:lineRule="auto"/>
              <w:ind w:left="-135"/>
              <w:jc w:val="center"/>
              <w:rPr>
                <w:rFonts w:ascii="Times New Roman" w:hAnsi="Times New Roman"/>
                <w:sz w:val="24"/>
                <w:szCs w:val="24"/>
              </w:rPr>
            </w:pPr>
            <w:r w:rsidRPr="00D72DB6">
              <w:rPr>
                <w:rFonts w:ascii="Times New Roman" w:hAnsi="Times New Roman"/>
                <w:sz w:val="24"/>
                <w:szCs w:val="24"/>
              </w:rPr>
              <w:t>89.7%</w:t>
            </w:r>
          </w:p>
        </w:tc>
      </w:tr>
      <w:tr w:rsidR="00D72DB6" w:rsidRPr="00D72DB6" w:rsidTr="00D72DB6">
        <w:trPr>
          <w:trHeight w:val="737"/>
          <w:jc w:val="center"/>
        </w:trPr>
        <w:tc>
          <w:tcPr>
            <w:tcW w:w="72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pStyle w:val="BodyText3"/>
              <w:spacing w:after="0" w:line="360" w:lineRule="auto"/>
              <w:rPr>
                <w:color w:val="000000"/>
                <w:sz w:val="24"/>
                <w:szCs w:val="24"/>
                <w:lang w:val="sq-AL"/>
              </w:rPr>
            </w:pPr>
            <w:r w:rsidRPr="00D72DB6">
              <w:rPr>
                <w:color w:val="000000"/>
                <w:sz w:val="24"/>
                <w:szCs w:val="24"/>
                <w:lang w:val="sq-AL"/>
              </w:rPr>
              <w:t>3</w:t>
            </w:r>
          </w:p>
        </w:tc>
        <w:tc>
          <w:tcPr>
            <w:tcW w:w="243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pStyle w:val="BodyText3"/>
              <w:spacing w:after="0" w:line="360" w:lineRule="auto"/>
              <w:rPr>
                <w:color w:val="000000"/>
                <w:sz w:val="24"/>
                <w:szCs w:val="24"/>
                <w:lang w:val="sq-AL"/>
              </w:rPr>
            </w:pPr>
            <w:r w:rsidRPr="00D72DB6">
              <w:rPr>
                <w:color w:val="000000"/>
                <w:sz w:val="24"/>
                <w:szCs w:val="24"/>
                <w:lang w:val="sq-AL"/>
              </w:rPr>
              <w:t>Mallra e shërbime të tjera</w:t>
            </w:r>
          </w:p>
        </w:tc>
        <w:tc>
          <w:tcPr>
            <w:tcW w:w="162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line="360" w:lineRule="auto"/>
              <w:jc w:val="center"/>
              <w:rPr>
                <w:rFonts w:ascii="Times New Roman" w:hAnsi="Times New Roman"/>
                <w:sz w:val="24"/>
                <w:szCs w:val="24"/>
              </w:rPr>
            </w:pPr>
            <w:r w:rsidRPr="00D72DB6">
              <w:rPr>
                <w:rFonts w:ascii="Times New Roman" w:hAnsi="Times New Roman"/>
                <w:sz w:val="24"/>
                <w:szCs w:val="24"/>
              </w:rPr>
              <w:t>19660</w:t>
            </w:r>
          </w:p>
        </w:tc>
        <w:tc>
          <w:tcPr>
            <w:tcW w:w="117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line="360" w:lineRule="auto"/>
              <w:jc w:val="center"/>
              <w:rPr>
                <w:rFonts w:ascii="Times New Roman" w:hAnsi="Times New Roman"/>
                <w:sz w:val="24"/>
                <w:szCs w:val="24"/>
              </w:rPr>
            </w:pPr>
            <w:r w:rsidRPr="00D72DB6">
              <w:rPr>
                <w:rFonts w:ascii="Times New Roman" w:hAnsi="Times New Roman"/>
                <w:sz w:val="24"/>
                <w:szCs w:val="24"/>
              </w:rPr>
              <w:t>29.9%</w:t>
            </w:r>
          </w:p>
        </w:tc>
        <w:tc>
          <w:tcPr>
            <w:tcW w:w="117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line="360" w:lineRule="auto"/>
              <w:jc w:val="center"/>
              <w:rPr>
                <w:rFonts w:ascii="Times New Roman" w:hAnsi="Times New Roman"/>
                <w:sz w:val="24"/>
                <w:szCs w:val="24"/>
              </w:rPr>
            </w:pPr>
            <w:r w:rsidRPr="00D72DB6">
              <w:rPr>
                <w:rFonts w:ascii="Times New Roman" w:hAnsi="Times New Roman"/>
                <w:sz w:val="24"/>
                <w:szCs w:val="24"/>
              </w:rPr>
              <w:t>19.206</w:t>
            </w:r>
          </w:p>
        </w:tc>
        <w:tc>
          <w:tcPr>
            <w:tcW w:w="180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line="360" w:lineRule="auto"/>
              <w:jc w:val="center"/>
              <w:rPr>
                <w:rFonts w:ascii="Times New Roman" w:hAnsi="Times New Roman"/>
                <w:sz w:val="24"/>
                <w:szCs w:val="24"/>
              </w:rPr>
            </w:pPr>
            <w:r w:rsidRPr="00D72DB6">
              <w:rPr>
                <w:rFonts w:ascii="Times New Roman" w:hAnsi="Times New Roman"/>
                <w:sz w:val="24"/>
                <w:szCs w:val="24"/>
              </w:rPr>
              <w:t>97.6%</w:t>
            </w:r>
          </w:p>
        </w:tc>
      </w:tr>
      <w:tr w:rsidR="00D72DB6" w:rsidRPr="00D72DB6" w:rsidTr="00D72DB6">
        <w:trPr>
          <w:trHeight w:val="737"/>
          <w:jc w:val="center"/>
        </w:trPr>
        <w:tc>
          <w:tcPr>
            <w:tcW w:w="72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pStyle w:val="BodyText3"/>
              <w:spacing w:after="0" w:line="360" w:lineRule="auto"/>
              <w:rPr>
                <w:color w:val="000000"/>
                <w:sz w:val="24"/>
                <w:szCs w:val="24"/>
                <w:lang w:val="sq-AL"/>
              </w:rPr>
            </w:pPr>
            <w:r w:rsidRPr="00D72DB6">
              <w:rPr>
                <w:color w:val="000000"/>
                <w:sz w:val="24"/>
                <w:szCs w:val="24"/>
                <w:lang w:val="sq-AL"/>
              </w:rPr>
              <w:lastRenderedPageBreak/>
              <w:t>4</w:t>
            </w:r>
          </w:p>
        </w:tc>
        <w:tc>
          <w:tcPr>
            <w:tcW w:w="243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pStyle w:val="BodyText3"/>
              <w:spacing w:after="0" w:line="360" w:lineRule="auto"/>
              <w:rPr>
                <w:color w:val="000000"/>
                <w:sz w:val="24"/>
                <w:szCs w:val="24"/>
                <w:lang w:val="sq-AL"/>
              </w:rPr>
            </w:pPr>
            <w:r w:rsidRPr="00D72DB6">
              <w:rPr>
                <w:color w:val="000000"/>
                <w:sz w:val="24"/>
                <w:szCs w:val="24"/>
                <w:lang w:val="sq-AL"/>
              </w:rPr>
              <w:t>Investime</w:t>
            </w:r>
          </w:p>
        </w:tc>
        <w:tc>
          <w:tcPr>
            <w:tcW w:w="162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line="360" w:lineRule="auto"/>
              <w:jc w:val="center"/>
              <w:rPr>
                <w:rFonts w:ascii="Times New Roman" w:hAnsi="Times New Roman"/>
                <w:sz w:val="24"/>
                <w:szCs w:val="24"/>
              </w:rPr>
            </w:pPr>
            <w:r w:rsidRPr="00D72DB6">
              <w:rPr>
                <w:rFonts w:ascii="Times New Roman" w:hAnsi="Times New Roman"/>
                <w:sz w:val="24"/>
                <w:szCs w:val="24"/>
              </w:rPr>
              <w:t>2500</w:t>
            </w:r>
          </w:p>
        </w:tc>
        <w:tc>
          <w:tcPr>
            <w:tcW w:w="117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line="360" w:lineRule="auto"/>
              <w:jc w:val="center"/>
              <w:rPr>
                <w:rFonts w:ascii="Times New Roman" w:hAnsi="Times New Roman"/>
                <w:sz w:val="24"/>
                <w:szCs w:val="24"/>
              </w:rPr>
            </w:pPr>
            <w:r w:rsidRPr="00D72DB6">
              <w:rPr>
                <w:rFonts w:ascii="Times New Roman" w:hAnsi="Times New Roman"/>
                <w:sz w:val="24"/>
                <w:szCs w:val="24"/>
              </w:rPr>
              <w:t>3.8. %</w:t>
            </w:r>
          </w:p>
        </w:tc>
        <w:tc>
          <w:tcPr>
            <w:tcW w:w="117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line="360" w:lineRule="auto"/>
              <w:jc w:val="center"/>
              <w:rPr>
                <w:rFonts w:ascii="Times New Roman" w:hAnsi="Times New Roman"/>
                <w:sz w:val="24"/>
                <w:szCs w:val="24"/>
              </w:rPr>
            </w:pPr>
            <w:r w:rsidRPr="00D72DB6">
              <w:rPr>
                <w:rFonts w:ascii="Times New Roman" w:hAnsi="Times New Roman"/>
                <w:sz w:val="24"/>
                <w:szCs w:val="24"/>
              </w:rPr>
              <w:t>2.380</w:t>
            </w:r>
          </w:p>
        </w:tc>
        <w:tc>
          <w:tcPr>
            <w:tcW w:w="180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line="360" w:lineRule="auto"/>
              <w:jc w:val="center"/>
              <w:rPr>
                <w:rFonts w:ascii="Times New Roman" w:hAnsi="Times New Roman"/>
                <w:sz w:val="24"/>
                <w:szCs w:val="24"/>
              </w:rPr>
            </w:pPr>
            <w:r w:rsidRPr="00D72DB6">
              <w:rPr>
                <w:rFonts w:ascii="Times New Roman" w:hAnsi="Times New Roman"/>
                <w:sz w:val="24"/>
                <w:szCs w:val="24"/>
              </w:rPr>
              <w:t>95%</w:t>
            </w:r>
          </w:p>
        </w:tc>
      </w:tr>
      <w:tr w:rsidR="00D72DB6" w:rsidRPr="00D72DB6" w:rsidTr="00D72DB6">
        <w:trPr>
          <w:trHeight w:val="737"/>
          <w:jc w:val="center"/>
        </w:trPr>
        <w:tc>
          <w:tcPr>
            <w:tcW w:w="72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pStyle w:val="BodyText3"/>
              <w:spacing w:after="0" w:line="360" w:lineRule="auto"/>
              <w:rPr>
                <w:color w:val="000000"/>
                <w:sz w:val="24"/>
                <w:szCs w:val="24"/>
                <w:lang w:val="sq-AL"/>
              </w:rPr>
            </w:pPr>
            <w:r w:rsidRPr="00D72DB6">
              <w:rPr>
                <w:color w:val="000000"/>
                <w:sz w:val="24"/>
                <w:szCs w:val="24"/>
                <w:lang w:val="sq-AL"/>
              </w:rPr>
              <w:t>5</w:t>
            </w:r>
          </w:p>
        </w:tc>
        <w:tc>
          <w:tcPr>
            <w:tcW w:w="243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pStyle w:val="BodyText3"/>
              <w:spacing w:after="0" w:line="360" w:lineRule="auto"/>
              <w:rPr>
                <w:color w:val="000000"/>
                <w:sz w:val="24"/>
                <w:szCs w:val="24"/>
                <w:lang w:val="sq-AL"/>
              </w:rPr>
            </w:pPr>
            <w:r w:rsidRPr="00D72DB6">
              <w:rPr>
                <w:color w:val="000000"/>
                <w:sz w:val="24"/>
                <w:szCs w:val="24"/>
                <w:lang w:val="sq-AL"/>
              </w:rPr>
              <w:t xml:space="preserve">Transferta te buxhetet familjare  </w:t>
            </w:r>
          </w:p>
        </w:tc>
        <w:tc>
          <w:tcPr>
            <w:tcW w:w="162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line="360" w:lineRule="auto"/>
              <w:jc w:val="center"/>
              <w:rPr>
                <w:rFonts w:ascii="Times New Roman" w:hAnsi="Times New Roman"/>
                <w:sz w:val="24"/>
                <w:szCs w:val="24"/>
              </w:rPr>
            </w:pPr>
            <w:r w:rsidRPr="00D72DB6">
              <w:rPr>
                <w:rFonts w:ascii="Times New Roman" w:hAnsi="Times New Roman"/>
                <w:sz w:val="24"/>
                <w:szCs w:val="24"/>
              </w:rPr>
              <w:t>290</w:t>
            </w:r>
          </w:p>
        </w:tc>
        <w:tc>
          <w:tcPr>
            <w:tcW w:w="117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line="360" w:lineRule="auto"/>
              <w:jc w:val="center"/>
              <w:rPr>
                <w:rFonts w:ascii="Times New Roman" w:hAnsi="Times New Roman"/>
                <w:sz w:val="24"/>
                <w:szCs w:val="24"/>
              </w:rPr>
            </w:pPr>
            <w:r w:rsidRPr="00D72DB6">
              <w:rPr>
                <w:rFonts w:ascii="Times New Roman" w:hAnsi="Times New Roman"/>
                <w:sz w:val="24"/>
                <w:szCs w:val="24"/>
              </w:rPr>
              <w:t>0.4%</w:t>
            </w:r>
          </w:p>
        </w:tc>
        <w:tc>
          <w:tcPr>
            <w:tcW w:w="117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line="360" w:lineRule="auto"/>
              <w:jc w:val="center"/>
              <w:rPr>
                <w:rFonts w:ascii="Times New Roman" w:hAnsi="Times New Roman"/>
                <w:sz w:val="24"/>
                <w:szCs w:val="24"/>
              </w:rPr>
            </w:pPr>
            <w:r w:rsidRPr="00D72DB6">
              <w:rPr>
                <w:rFonts w:ascii="Times New Roman" w:hAnsi="Times New Roman"/>
                <w:sz w:val="24"/>
                <w:szCs w:val="24"/>
              </w:rPr>
              <w:t>290</w:t>
            </w:r>
          </w:p>
        </w:tc>
        <w:tc>
          <w:tcPr>
            <w:tcW w:w="180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line="360" w:lineRule="auto"/>
              <w:jc w:val="center"/>
              <w:rPr>
                <w:rFonts w:ascii="Times New Roman" w:hAnsi="Times New Roman"/>
                <w:sz w:val="24"/>
                <w:szCs w:val="24"/>
              </w:rPr>
            </w:pPr>
            <w:r w:rsidRPr="00D72DB6">
              <w:rPr>
                <w:rFonts w:ascii="Times New Roman" w:hAnsi="Times New Roman"/>
                <w:sz w:val="24"/>
                <w:szCs w:val="24"/>
              </w:rPr>
              <w:t>100%</w:t>
            </w:r>
          </w:p>
        </w:tc>
      </w:tr>
      <w:tr w:rsidR="00D72DB6" w:rsidRPr="00D72DB6" w:rsidTr="00D72DB6">
        <w:trPr>
          <w:trHeight w:val="737"/>
          <w:jc w:val="center"/>
        </w:trPr>
        <w:tc>
          <w:tcPr>
            <w:tcW w:w="72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pStyle w:val="BodyText3"/>
              <w:spacing w:after="0" w:line="360" w:lineRule="auto"/>
              <w:rPr>
                <w:color w:val="000000"/>
                <w:sz w:val="24"/>
                <w:szCs w:val="24"/>
                <w:lang w:val="sq-AL"/>
              </w:rPr>
            </w:pPr>
            <w:r w:rsidRPr="00D72DB6">
              <w:rPr>
                <w:color w:val="000000"/>
                <w:sz w:val="24"/>
                <w:szCs w:val="24"/>
                <w:lang w:val="sq-AL"/>
              </w:rPr>
              <w:t>6</w:t>
            </w:r>
          </w:p>
        </w:tc>
        <w:tc>
          <w:tcPr>
            <w:tcW w:w="243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pStyle w:val="BodyText3"/>
              <w:spacing w:after="0" w:line="360" w:lineRule="auto"/>
              <w:rPr>
                <w:b/>
                <w:color w:val="000000"/>
                <w:sz w:val="24"/>
                <w:szCs w:val="24"/>
                <w:lang w:val="sq-AL"/>
              </w:rPr>
            </w:pPr>
            <w:r w:rsidRPr="00D72DB6">
              <w:rPr>
                <w:b/>
                <w:color w:val="000000"/>
                <w:sz w:val="24"/>
                <w:szCs w:val="24"/>
                <w:lang w:val="sq-AL"/>
              </w:rPr>
              <w:t xml:space="preserve">Kuotizacion </w:t>
            </w:r>
          </w:p>
        </w:tc>
        <w:tc>
          <w:tcPr>
            <w:tcW w:w="162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line="360" w:lineRule="auto"/>
              <w:jc w:val="center"/>
              <w:rPr>
                <w:rFonts w:ascii="Times New Roman" w:hAnsi="Times New Roman"/>
                <w:sz w:val="24"/>
                <w:szCs w:val="24"/>
              </w:rPr>
            </w:pPr>
            <w:r w:rsidRPr="00D72DB6">
              <w:rPr>
                <w:rFonts w:ascii="Times New Roman" w:hAnsi="Times New Roman"/>
                <w:sz w:val="24"/>
                <w:szCs w:val="24"/>
              </w:rPr>
              <w:t>100</w:t>
            </w:r>
          </w:p>
        </w:tc>
        <w:tc>
          <w:tcPr>
            <w:tcW w:w="117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line="360" w:lineRule="auto"/>
              <w:jc w:val="center"/>
              <w:rPr>
                <w:rFonts w:ascii="Times New Roman" w:hAnsi="Times New Roman"/>
                <w:sz w:val="24"/>
                <w:szCs w:val="24"/>
              </w:rPr>
            </w:pPr>
            <w:r w:rsidRPr="00D72DB6">
              <w:rPr>
                <w:rFonts w:ascii="Times New Roman" w:hAnsi="Times New Roman"/>
                <w:sz w:val="24"/>
                <w:szCs w:val="24"/>
              </w:rPr>
              <w:t>0.1%</w:t>
            </w:r>
          </w:p>
        </w:tc>
        <w:tc>
          <w:tcPr>
            <w:tcW w:w="117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line="360" w:lineRule="auto"/>
              <w:jc w:val="center"/>
              <w:rPr>
                <w:rFonts w:ascii="Times New Roman" w:hAnsi="Times New Roman"/>
                <w:sz w:val="24"/>
                <w:szCs w:val="24"/>
              </w:rPr>
            </w:pPr>
            <w:r w:rsidRPr="00D72DB6">
              <w:rPr>
                <w:rFonts w:ascii="Times New Roman" w:hAnsi="Times New Roman"/>
                <w:sz w:val="24"/>
                <w:szCs w:val="24"/>
              </w:rPr>
              <w:t>83</w:t>
            </w:r>
          </w:p>
        </w:tc>
        <w:tc>
          <w:tcPr>
            <w:tcW w:w="180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line="360" w:lineRule="auto"/>
              <w:jc w:val="center"/>
              <w:rPr>
                <w:rFonts w:ascii="Times New Roman" w:hAnsi="Times New Roman"/>
                <w:sz w:val="24"/>
                <w:szCs w:val="24"/>
              </w:rPr>
            </w:pPr>
            <w:r w:rsidRPr="00D72DB6">
              <w:rPr>
                <w:rFonts w:ascii="Times New Roman" w:hAnsi="Times New Roman"/>
                <w:sz w:val="24"/>
                <w:szCs w:val="24"/>
              </w:rPr>
              <w:t>83%</w:t>
            </w:r>
          </w:p>
        </w:tc>
      </w:tr>
      <w:tr w:rsidR="00D72DB6" w:rsidRPr="00D72DB6" w:rsidTr="00D72DB6">
        <w:trPr>
          <w:trHeight w:val="737"/>
          <w:jc w:val="center"/>
        </w:trPr>
        <w:tc>
          <w:tcPr>
            <w:tcW w:w="720" w:type="dxa"/>
            <w:tcBorders>
              <w:top w:val="single" w:sz="4" w:space="0" w:color="FFFFFF"/>
              <w:left w:val="single" w:sz="4" w:space="0" w:color="FFFFFF"/>
              <w:bottom w:val="single" w:sz="4" w:space="0" w:color="FFFFFF"/>
              <w:right w:val="single" w:sz="4" w:space="0" w:color="FFFFFF"/>
            </w:tcBorders>
            <w:shd w:val="clear" w:color="auto" w:fill="DEEAF6"/>
            <w:vAlign w:val="center"/>
          </w:tcPr>
          <w:p w:rsidR="00D72DB6" w:rsidRPr="00D72DB6" w:rsidRDefault="00D72DB6">
            <w:pPr>
              <w:pStyle w:val="BodyText3"/>
              <w:spacing w:after="0" w:line="360" w:lineRule="auto"/>
              <w:rPr>
                <w:b/>
                <w:color w:val="000000"/>
                <w:sz w:val="24"/>
                <w:szCs w:val="24"/>
                <w:lang w:val="sq-AL"/>
              </w:rPr>
            </w:pPr>
          </w:p>
        </w:tc>
        <w:tc>
          <w:tcPr>
            <w:tcW w:w="243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pStyle w:val="BodyText3"/>
              <w:spacing w:after="0" w:line="360" w:lineRule="auto"/>
              <w:rPr>
                <w:b/>
                <w:color w:val="000000"/>
                <w:sz w:val="24"/>
                <w:szCs w:val="24"/>
                <w:lang w:val="sq-AL"/>
              </w:rPr>
            </w:pPr>
            <w:r w:rsidRPr="00D72DB6">
              <w:rPr>
                <w:b/>
                <w:color w:val="000000"/>
                <w:sz w:val="24"/>
                <w:szCs w:val="24"/>
                <w:lang w:val="sq-AL"/>
              </w:rPr>
              <w:t xml:space="preserve">Totali  </w:t>
            </w:r>
          </w:p>
        </w:tc>
        <w:tc>
          <w:tcPr>
            <w:tcW w:w="162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pStyle w:val="BodyText3"/>
              <w:spacing w:after="0" w:line="360" w:lineRule="auto"/>
              <w:jc w:val="center"/>
              <w:rPr>
                <w:b/>
                <w:color w:val="000000"/>
                <w:sz w:val="24"/>
                <w:szCs w:val="24"/>
                <w:lang w:val="sq-AL"/>
              </w:rPr>
            </w:pPr>
            <w:r w:rsidRPr="00D72DB6">
              <w:rPr>
                <w:b/>
                <w:color w:val="000000"/>
                <w:sz w:val="24"/>
                <w:szCs w:val="24"/>
                <w:lang w:val="sq-AL"/>
              </w:rPr>
              <w:t>65.650</w:t>
            </w:r>
          </w:p>
        </w:tc>
        <w:tc>
          <w:tcPr>
            <w:tcW w:w="117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pStyle w:val="BodyText3"/>
              <w:spacing w:after="0" w:line="360" w:lineRule="auto"/>
              <w:jc w:val="center"/>
              <w:rPr>
                <w:b/>
                <w:color w:val="000000"/>
                <w:sz w:val="24"/>
                <w:szCs w:val="24"/>
                <w:lang w:val="sq-AL"/>
              </w:rPr>
            </w:pPr>
            <w:r w:rsidRPr="00D72DB6">
              <w:rPr>
                <w:b/>
                <w:color w:val="000000"/>
                <w:sz w:val="24"/>
                <w:szCs w:val="24"/>
                <w:lang w:val="sq-AL"/>
              </w:rPr>
              <w:t>100%</w:t>
            </w:r>
          </w:p>
        </w:tc>
        <w:tc>
          <w:tcPr>
            <w:tcW w:w="117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pStyle w:val="BodyText3"/>
              <w:spacing w:after="0" w:line="360" w:lineRule="auto"/>
              <w:jc w:val="center"/>
              <w:rPr>
                <w:b/>
                <w:color w:val="000000"/>
                <w:sz w:val="24"/>
                <w:szCs w:val="24"/>
                <w:lang w:val="sq-AL"/>
              </w:rPr>
            </w:pPr>
            <w:r w:rsidRPr="00D72DB6">
              <w:rPr>
                <w:b/>
                <w:color w:val="000000"/>
                <w:sz w:val="24"/>
                <w:szCs w:val="24"/>
                <w:lang w:val="sq-AL"/>
              </w:rPr>
              <w:t>63.618</w:t>
            </w:r>
          </w:p>
        </w:tc>
        <w:tc>
          <w:tcPr>
            <w:tcW w:w="180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pStyle w:val="BodyText3"/>
              <w:spacing w:after="0" w:line="360" w:lineRule="auto"/>
              <w:jc w:val="center"/>
              <w:rPr>
                <w:b/>
                <w:color w:val="000000"/>
                <w:sz w:val="24"/>
                <w:szCs w:val="24"/>
                <w:lang w:val="sq-AL"/>
              </w:rPr>
            </w:pPr>
            <w:r w:rsidRPr="00D72DB6">
              <w:rPr>
                <w:b/>
                <w:color w:val="000000"/>
                <w:sz w:val="24"/>
                <w:szCs w:val="24"/>
                <w:lang w:val="sq-AL"/>
              </w:rPr>
              <w:t>96.9%</w:t>
            </w:r>
          </w:p>
        </w:tc>
      </w:tr>
    </w:tbl>
    <w:p w:rsidR="00D72DB6" w:rsidRPr="00D72DB6" w:rsidRDefault="00D72DB6" w:rsidP="00D72DB6">
      <w:pPr>
        <w:spacing w:line="360" w:lineRule="auto"/>
        <w:jc w:val="both"/>
        <w:rPr>
          <w:rFonts w:ascii="Times New Roman" w:hAnsi="Times New Roman"/>
          <w:sz w:val="24"/>
          <w:szCs w:val="24"/>
        </w:rPr>
      </w:pPr>
    </w:p>
    <w:p w:rsidR="00D72DB6" w:rsidRPr="00D72DB6" w:rsidRDefault="00D72DB6" w:rsidP="00D72DB6">
      <w:pPr>
        <w:spacing w:line="360" w:lineRule="auto"/>
        <w:jc w:val="both"/>
        <w:rPr>
          <w:rFonts w:ascii="Times New Roman" w:hAnsi="Times New Roman"/>
          <w:sz w:val="24"/>
          <w:szCs w:val="24"/>
        </w:rPr>
      </w:pPr>
      <w:r w:rsidRPr="00D72DB6">
        <w:rPr>
          <w:rFonts w:ascii="Times New Roman" w:hAnsi="Times New Roman"/>
          <w:sz w:val="24"/>
          <w:szCs w:val="24"/>
        </w:rPr>
        <w:t xml:space="preserve">Në strukturën e Zyrës së Komisionerit nuk ka njësi të auditit të brendshëm. Për vitin 2017 nuk jemi përfshirë në planin e auditimit të Kontrollit të Lartë të Shtetit. </w:t>
      </w:r>
      <w:bookmarkStart w:id="34" w:name="_Toc474707699"/>
    </w:p>
    <w:p w:rsidR="00D72DB6" w:rsidRPr="00D72DB6" w:rsidRDefault="00D72DB6" w:rsidP="00D72DB6">
      <w:pPr>
        <w:spacing w:line="360" w:lineRule="auto"/>
        <w:jc w:val="both"/>
        <w:rPr>
          <w:rFonts w:ascii="Times New Roman" w:hAnsi="Times New Roman"/>
          <w:sz w:val="24"/>
          <w:szCs w:val="24"/>
        </w:rPr>
      </w:pPr>
    </w:p>
    <w:p w:rsidR="00D72DB6" w:rsidRPr="00D72DB6" w:rsidRDefault="00D72DB6" w:rsidP="00D72DB6">
      <w:pPr>
        <w:pStyle w:val="ListParagraph"/>
        <w:spacing w:after="480" w:line="360" w:lineRule="auto"/>
        <w:ind w:left="357"/>
        <w:rPr>
          <w:rFonts w:ascii="Times New Roman" w:hAnsi="Times New Roman"/>
          <w:b/>
          <w:color w:val="000000" w:themeColor="text1"/>
          <w:sz w:val="24"/>
          <w:szCs w:val="24"/>
        </w:rPr>
      </w:pPr>
      <w:r w:rsidRPr="00D72DB6">
        <w:rPr>
          <w:rFonts w:ascii="Times New Roman" w:hAnsi="Times New Roman"/>
          <w:b/>
          <w:color w:val="000000" w:themeColor="text1"/>
          <w:sz w:val="24"/>
          <w:szCs w:val="24"/>
        </w:rPr>
        <w:t>Të ardhurat nga sanksionet/gjoba</w:t>
      </w:r>
      <w:bookmarkEnd w:id="34"/>
      <w:r w:rsidR="003C6EA5" w:rsidRPr="003C6EA5">
        <w:rPr>
          <w:rFonts w:ascii="Times New Roman" w:hAnsi="Times New Roman"/>
          <w:noProof/>
          <w:sz w:val="24"/>
          <w:szCs w:val="24"/>
          <w:lang w:eastAsia="sq-AL"/>
        </w:rPr>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18" o:spid="_x0000_s1029" type="#_x0000_t47" style="position:absolute;left:0;text-align:left;margin-left:334.3pt;margin-top:10.6pt;width:115pt;height:43pt;z-index:25166336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0kspgIAAMcFAAAOAAAAZHJzL2Uyb0RvYy54bWysVEtv2zAMvg/YfxB0b/2okzRBnSJI0WFA&#10;0BZrh54VWWq86TVJiZ39+lKy42Tt0MOwi02KHynyI6mr61YKtGPW1VqVODtPMWKK6qpWLyX+/nR7&#10;domR80RVRGjFSrxnDl/PP3+6asyM5XqjRcUsgiDKzRpT4o33ZpYkjm6YJO5cG6bAyLWVxINqX5LK&#10;kgaiS5HkaTpOGm0rYzVlzsHpTWfE8xifc0b9PeeOeSRKDLn5+LXxuw7fZH5FZi+WmE1N+zTIP2Qh&#10;Sa3g0iHUDfEEbW39LpSsqdVOc39OtUw05zVlsQaoJkvfVPO4IYbFWoAcZwaa3P8LS+92DxbVFfQO&#10;OqWIhB6tasXQkgihtx5lCAzAUmPcDMCP5sH2mgMxlNxyK8MfikFtZHY/MMtajygcZsU4HaXQAAq2&#10;UTHOQIYwydHbWOe/MC1REEq8hrYy2yeRRWrJbuV85LjqEyXVjwwjLgW0bEcEGk2z8aRv6QkmP8Wc&#10;FdNJ9h5zcYqZTCeX+XtMcYo5y7N0HEFQRJ8aSIcyoLbAWMdRlPxesJC9UN8YB8aBlTzWFWedLYVF&#10;UEOJq58xPYgVkcGF10IMTh0Zb5yEPzj12ODG4vwPjunHtw3oeKNWfnCUtdL2Y2fe4Q9Vd7WGsn27&#10;buN4XQQ+w8laV3sYOau7XXSG3tbQ8hVx/oFY6CRMCTwo/h4+XOimxLqXMNpo+/tv5wEPOwFWjBpY&#10;5hK7X1tiGUbiq4JtmWZFEbY/KsVokoNiTy3rU4vayqWGTsBsQXZRDHgvDiK3Wj7DgC7CrWAiisLd&#10;JabeHpSl7x4ZeLkoWywiDDbeEL9Sj4aG4IHnMC5P7TOxpp97Dxtzpw+L309WtylHbPBUerH1mtc+&#10;GI+89gq8FiD98Ryd6hF1fH/nrwAAAP//AwBQSwMEFAAGAAgAAAAhAGFUj07dAAAACgEAAA8AAABk&#10;cnMvZG93bnJldi54bWxMj8FOwzAMhu9IvENkJC4VS1uk0pWl05gYV8TgAbzGtIXGqZpsK2+Pd4Kj&#10;7U+/v3+1nt2gTjSF3rOBbJGCIm687bk18PG+uytBhYhscfBMBn4owLq+vlphZf2Z3+i0j62SEA4V&#10;GuhiHCutQ9ORw7DwI7HcPv3kMMo4tdpOeJZwN+g8TQvtsGf50OFI246a7/3RGUg2y95nr7tstM9P&#10;2+QFE/91nxhzezNvHkFFmuMfDBd9UYdanA7+yDaowUBRlIWgBvIsByVAubwsDkKmDznoeqX/V6h/&#10;AQAA//8DAFBLAQItABQABgAIAAAAIQC2gziS/gAAAOEBAAATAAAAAAAAAAAAAAAAAAAAAABbQ29u&#10;dGVudF9UeXBlc10ueG1sUEsBAi0AFAAGAAgAAAAhADj9If/WAAAAlAEAAAsAAAAAAAAAAAAAAAAA&#10;LwEAAF9yZWxzLy5yZWxzUEsBAi0AFAAGAAgAAAAhAC13SSymAgAAxwUAAA4AAAAAAAAAAAAAAAAA&#10;LgIAAGRycy9lMm9Eb2MueG1sUEsBAi0AFAAGAAgAAAAhAGFUj07dAAAACgEAAA8AAAAAAAAAAAAA&#10;AAAAAAUAAGRycy9kb3ducmV2LnhtbFBLBQYAAAAABAAEAPMAAAAKBgAAAAA=&#10;" adj="-4549,17233,-1074,12780" fillcolor="white [3201]" strokecolor="black [3200]" strokeweight="1pt">
            <v:textbox>
              <w:txbxContent>
                <w:p w:rsidR="00D72DB6" w:rsidRDefault="00D72DB6" w:rsidP="00D72DB6">
                  <w:pPr>
                    <w:spacing w:after="0"/>
                    <w:jc w:val="center"/>
                    <w:rPr>
                      <w:rFonts w:ascii="Times New Roman" w:hAnsi="Times New Roman"/>
                      <w:sz w:val="24"/>
                      <w:szCs w:val="24"/>
                    </w:rPr>
                  </w:pPr>
                  <w:r>
                    <w:rPr>
                      <w:rFonts w:ascii="Times New Roman" w:hAnsi="Times New Roman"/>
                      <w:sz w:val="24"/>
                      <w:szCs w:val="24"/>
                    </w:rPr>
                    <w:t>Të arkëtuara</w:t>
                  </w:r>
                </w:p>
                <w:p w:rsidR="00D72DB6" w:rsidRDefault="00D72DB6" w:rsidP="00D72DB6">
                  <w:pPr>
                    <w:spacing w:after="0"/>
                    <w:jc w:val="center"/>
                    <w:rPr>
                      <w:rFonts w:ascii="Times New Roman" w:hAnsi="Times New Roman"/>
                      <w:sz w:val="24"/>
                      <w:szCs w:val="24"/>
                    </w:rPr>
                  </w:pPr>
                  <w:r>
                    <w:rPr>
                      <w:rFonts w:ascii="Times New Roman" w:hAnsi="Times New Roman"/>
                      <w:sz w:val="24"/>
                      <w:szCs w:val="24"/>
                    </w:rPr>
                    <w:t xml:space="preserve">1000 </w:t>
                  </w:r>
                  <w:r>
                    <w:rPr>
                      <w:rFonts w:ascii="Times New Roman" w:hAnsi="Times New Roman"/>
                      <w:color w:val="000000" w:themeColor="text1"/>
                      <w:sz w:val="24"/>
                      <w:szCs w:val="24"/>
                    </w:rPr>
                    <w:t>(në mijë lekë)</w:t>
                  </w:r>
                </w:p>
              </w:txbxContent>
            </v:textbox>
            <o:callout v:ext="edit" minusy="t"/>
          </v:shape>
        </w:pict>
      </w:r>
    </w:p>
    <w:tbl>
      <w:tblPr>
        <w:tblStyle w:val="TableGrid"/>
        <w:tblpPr w:leftFromText="180" w:rightFromText="180" w:vertAnchor="text" w:tblpY="1"/>
        <w:tblOverlap w:val="never"/>
        <w:tblW w:w="0" w:type="auto"/>
        <w:tblInd w:w="0" w:type="dxa"/>
        <w:tblLook w:val="04A0"/>
      </w:tblPr>
      <w:tblGrid>
        <w:gridCol w:w="3235"/>
        <w:gridCol w:w="2880"/>
      </w:tblGrid>
      <w:tr w:rsidR="00D72DB6" w:rsidRPr="00D72DB6" w:rsidTr="00D72DB6">
        <w:trPr>
          <w:trHeight w:val="796"/>
        </w:trPr>
        <w:tc>
          <w:tcPr>
            <w:tcW w:w="3235" w:type="dxa"/>
            <w:tcBorders>
              <w:top w:val="single" w:sz="4" w:space="0" w:color="auto"/>
              <w:left w:val="single" w:sz="4" w:space="0" w:color="auto"/>
              <w:bottom w:val="single" w:sz="4" w:space="0" w:color="auto"/>
              <w:right w:val="single" w:sz="4" w:space="0" w:color="auto"/>
            </w:tcBorders>
            <w:vAlign w:val="center"/>
            <w:hideMark/>
          </w:tcPr>
          <w:p w:rsidR="00D72DB6" w:rsidRPr="00D72DB6" w:rsidRDefault="00D72DB6">
            <w:pPr>
              <w:spacing w:after="0" w:line="360" w:lineRule="auto"/>
              <w:jc w:val="center"/>
              <w:rPr>
                <w:rFonts w:ascii="Times New Roman" w:hAnsi="Times New Roman"/>
                <w:color w:val="000000" w:themeColor="text1"/>
                <w:sz w:val="24"/>
                <w:szCs w:val="24"/>
              </w:rPr>
            </w:pPr>
            <w:r w:rsidRPr="00D72DB6">
              <w:rPr>
                <w:rFonts w:ascii="Times New Roman" w:hAnsi="Times New Roman"/>
                <w:color w:val="000000" w:themeColor="text1"/>
                <w:sz w:val="24"/>
                <w:szCs w:val="24"/>
              </w:rPr>
              <w:t>Totali i Sanksioneve</w:t>
            </w:r>
          </w:p>
          <w:p w:rsidR="00D72DB6" w:rsidRPr="00D72DB6" w:rsidRDefault="00D72DB6">
            <w:pPr>
              <w:spacing w:after="0" w:line="360" w:lineRule="auto"/>
              <w:jc w:val="center"/>
              <w:rPr>
                <w:rFonts w:ascii="Times New Roman" w:hAnsi="Times New Roman"/>
                <w:color w:val="000000" w:themeColor="text1"/>
                <w:sz w:val="24"/>
                <w:szCs w:val="24"/>
              </w:rPr>
            </w:pPr>
            <w:r w:rsidRPr="00D72DB6">
              <w:rPr>
                <w:rFonts w:ascii="Times New Roman" w:hAnsi="Times New Roman"/>
                <w:color w:val="000000" w:themeColor="text1"/>
                <w:sz w:val="24"/>
                <w:szCs w:val="24"/>
              </w:rPr>
              <w:t>në Vitin 2017</w:t>
            </w:r>
          </w:p>
        </w:tc>
        <w:tc>
          <w:tcPr>
            <w:tcW w:w="2880" w:type="dxa"/>
            <w:tcBorders>
              <w:top w:val="single" w:sz="4" w:space="0" w:color="auto"/>
              <w:left w:val="single" w:sz="4" w:space="0" w:color="auto"/>
              <w:bottom w:val="single" w:sz="4" w:space="0" w:color="auto"/>
              <w:right w:val="single" w:sz="4" w:space="0" w:color="auto"/>
            </w:tcBorders>
            <w:vAlign w:val="center"/>
            <w:hideMark/>
          </w:tcPr>
          <w:p w:rsidR="00D72DB6" w:rsidRPr="00D72DB6" w:rsidRDefault="00D72DB6">
            <w:pPr>
              <w:spacing w:after="0" w:line="240" w:lineRule="auto"/>
              <w:jc w:val="center"/>
              <w:rPr>
                <w:rFonts w:ascii="Times New Roman" w:hAnsi="Times New Roman"/>
                <w:color w:val="000000" w:themeColor="text1"/>
                <w:sz w:val="24"/>
                <w:szCs w:val="24"/>
              </w:rPr>
            </w:pPr>
            <w:r w:rsidRPr="00D72DB6">
              <w:rPr>
                <w:rFonts w:ascii="Times New Roman" w:hAnsi="Times New Roman"/>
                <w:color w:val="000000" w:themeColor="text1"/>
                <w:sz w:val="24"/>
                <w:szCs w:val="24"/>
              </w:rPr>
              <w:t>1820 (në mijë lekë)</w:t>
            </w:r>
          </w:p>
        </w:tc>
      </w:tr>
      <w:tr w:rsidR="00D72DB6" w:rsidRPr="00D72DB6" w:rsidTr="00D72DB6">
        <w:trPr>
          <w:trHeight w:val="733"/>
        </w:trPr>
        <w:tc>
          <w:tcPr>
            <w:tcW w:w="3235" w:type="dxa"/>
            <w:tcBorders>
              <w:top w:val="single" w:sz="4" w:space="0" w:color="auto"/>
              <w:left w:val="single" w:sz="4" w:space="0" w:color="auto"/>
              <w:bottom w:val="single" w:sz="4" w:space="0" w:color="auto"/>
              <w:right w:val="single" w:sz="4" w:space="0" w:color="auto"/>
            </w:tcBorders>
            <w:vAlign w:val="center"/>
            <w:hideMark/>
          </w:tcPr>
          <w:p w:rsidR="00D72DB6" w:rsidRPr="00D72DB6" w:rsidRDefault="00D72DB6">
            <w:pPr>
              <w:spacing w:after="0" w:line="360" w:lineRule="auto"/>
              <w:rPr>
                <w:rFonts w:ascii="Times New Roman" w:hAnsi="Times New Roman"/>
                <w:color w:val="000000" w:themeColor="text1"/>
                <w:sz w:val="24"/>
                <w:szCs w:val="24"/>
              </w:rPr>
            </w:pPr>
            <w:r w:rsidRPr="00D72DB6">
              <w:rPr>
                <w:rFonts w:ascii="Times New Roman" w:hAnsi="Times New Roman"/>
                <w:color w:val="000000" w:themeColor="text1"/>
                <w:sz w:val="24"/>
                <w:szCs w:val="24"/>
              </w:rPr>
              <w:t>Për shkelje të dispozitave të ligjit 9887/2008, i ndryshuar</w:t>
            </w:r>
          </w:p>
        </w:tc>
        <w:tc>
          <w:tcPr>
            <w:tcW w:w="2880" w:type="dxa"/>
            <w:tcBorders>
              <w:top w:val="single" w:sz="4" w:space="0" w:color="auto"/>
              <w:left w:val="single" w:sz="4" w:space="0" w:color="auto"/>
              <w:bottom w:val="single" w:sz="4" w:space="0" w:color="auto"/>
              <w:right w:val="single" w:sz="4" w:space="0" w:color="auto"/>
            </w:tcBorders>
            <w:vAlign w:val="center"/>
            <w:hideMark/>
          </w:tcPr>
          <w:p w:rsidR="00D72DB6" w:rsidRPr="00D72DB6" w:rsidRDefault="00D72DB6">
            <w:pPr>
              <w:spacing w:after="0" w:line="360" w:lineRule="auto"/>
              <w:jc w:val="center"/>
              <w:rPr>
                <w:rFonts w:ascii="Times New Roman" w:hAnsi="Times New Roman"/>
                <w:color w:val="000000" w:themeColor="text1"/>
                <w:sz w:val="24"/>
                <w:szCs w:val="24"/>
              </w:rPr>
            </w:pPr>
            <w:r w:rsidRPr="00D72DB6">
              <w:rPr>
                <w:rFonts w:ascii="Times New Roman" w:hAnsi="Times New Roman"/>
                <w:color w:val="000000" w:themeColor="text1"/>
                <w:sz w:val="24"/>
                <w:szCs w:val="24"/>
              </w:rPr>
              <w:t>1120 (në mijë lekë)</w:t>
            </w:r>
          </w:p>
        </w:tc>
      </w:tr>
      <w:tr w:rsidR="00D72DB6" w:rsidRPr="00D72DB6" w:rsidTr="00D72DB6">
        <w:trPr>
          <w:trHeight w:val="481"/>
        </w:trPr>
        <w:tc>
          <w:tcPr>
            <w:tcW w:w="3235" w:type="dxa"/>
            <w:tcBorders>
              <w:top w:val="single" w:sz="4" w:space="0" w:color="auto"/>
              <w:left w:val="single" w:sz="4" w:space="0" w:color="auto"/>
              <w:bottom w:val="single" w:sz="4" w:space="0" w:color="auto"/>
              <w:right w:val="single" w:sz="4" w:space="0" w:color="auto"/>
            </w:tcBorders>
            <w:vAlign w:val="center"/>
            <w:hideMark/>
          </w:tcPr>
          <w:p w:rsidR="00D72DB6" w:rsidRPr="00D72DB6" w:rsidRDefault="00D72DB6">
            <w:pPr>
              <w:spacing w:after="0" w:line="360" w:lineRule="auto"/>
              <w:rPr>
                <w:rFonts w:ascii="Times New Roman" w:hAnsi="Times New Roman"/>
                <w:color w:val="000000" w:themeColor="text1"/>
                <w:sz w:val="24"/>
                <w:szCs w:val="24"/>
              </w:rPr>
            </w:pPr>
            <w:r w:rsidRPr="00D72DB6">
              <w:rPr>
                <w:rFonts w:ascii="Times New Roman" w:hAnsi="Times New Roman"/>
                <w:color w:val="000000" w:themeColor="text1"/>
                <w:sz w:val="24"/>
                <w:szCs w:val="24"/>
              </w:rPr>
              <w:t>Për shkelje të dispozitave të ligjit 119/2014</w:t>
            </w:r>
          </w:p>
        </w:tc>
        <w:tc>
          <w:tcPr>
            <w:tcW w:w="2880" w:type="dxa"/>
            <w:tcBorders>
              <w:top w:val="single" w:sz="4" w:space="0" w:color="auto"/>
              <w:left w:val="single" w:sz="4" w:space="0" w:color="auto"/>
              <w:bottom w:val="single" w:sz="4" w:space="0" w:color="auto"/>
              <w:right w:val="single" w:sz="4" w:space="0" w:color="auto"/>
            </w:tcBorders>
            <w:vAlign w:val="center"/>
            <w:hideMark/>
          </w:tcPr>
          <w:p w:rsidR="00D72DB6" w:rsidRPr="00D72DB6" w:rsidRDefault="00D72DB6">
            <w:pPr>
              <w:spacing w:after="0" w:line="360" w:lineRule="auto"/>
              <w:jc w:val="center"/>
              <w:rPr>
                <w:rFonts w:ascii="Times New Roman" w:hAnsi="Times New Roman"/>
                <w:color w:val="000000" w:themeColor="text1"/>
                <w:sz w:val="24"/>
                <w:szCs w:val="24"/>
              </w:rPr>
            </w:pPr>
            <w:r w:rsidRPr="00D72DB6">
              <w:rPr>
                <w:rFonts w:ascii="Times New Roman" w:hAnsi="Times New Roman"/>
                <w:color w:val="000000" w:themeColor="text1"/>
                <w:sz w:val="24"/>
                <w:szCs w:val="24"/>
              </w:rPr>
              <w:t>700 (në mijë lekë)</w:t>
            </w:r>
          </w:p>
        </w:tc>
      </w:tr>
    </w:tbl>
    <w:p w:rsidR="00D72DB6" w:rsidRPr="00D72DB6" w:rsidRDefault="003C6EA5" w:rsidP="00D72DB6">
      <w:pPr>
        <w:spacing w:after="240" w:line="360" w:lineRule="auto"/>
        <w:rPr>
          <w:rFonts w:ascii="Times New Roman" w:eastAsia="Batang" w:hAnsi="Times New Roman"/>
          <w:b/>
          <w:color w:val="000000" w:themeColor="text1"/>
          <w:sz w:val="24"/>
          <w:szCs w:val="24"/>
        </w:rPr>
      </w:pPr>
      <w:r w:rsidRPr="003C6EA5">
        <w:rPr>
          <w:rFonts w:ascii="Times New Roman" w:hAnsi="Times New Roman"/>
          <w:noProof/>
          <w:sz w:val="24"/>
          <w:szCs w:val="24"/>
          <w:lang w:eastAsia="sq-AL"/>
        </w:rPr>
        <w:pict>
          <v:shape id="Line Callout 1 19" o:spid="_x0000_s1030" type="#_x0000_t47" style="position:absolute;margin-left:334.3pt;margin-top:35.35pt;width:115pt;height:42.2pt;z-index:251664384;visibility:visible;mso-position-horizontal-relative:text;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jwVpQIAAMYFAAAOAAAAZHJzL2Uyb0RvYy54bWysVEtv2zAMvg/YfxB0b/2IkzZBnSJI0WFA&#10;0BZrh54VWWq86TVJiZ39+lGy42Rt0cOwi02KHynyI6mr61YKtGPW1VqVODtPMWKK6qpWLyX+/nR7&#10;domR80RVRGjFSrxnDl/PP3+6asyM5XqjRcUsgiDKzRpT4o33ZpYkjm6YJO5cG6bAyLWVxINqX5LK&#10;kgaiS5HkaTpJGm0rYzVlzsHpTWfE8xifc0b9PeeOeSRKDLn5+LXxuw7fZH5FZi+WmE1N+zTIP2Qh&#10;Sa3g0iHUDfEEbW39JpSsqdVOc39OtUw05zVlsQaoJktfVfO4IYbFWoAcZwaa3P8LS+92DxbVFfRu&#10;ipEiEnq0qhVDSyKE3nqUITAAS41xMwA/mgfbaw7EUHLLrQx/KAa1kdn9wCxrPaJwmBWTdJxCAyjY&#10;xqPxtIjUJ0dvY53/wrREQSjxGtrKbJ9EFqklu5XzkeOqT5RUPzKMuBTQsh0RqEhHed639ASTn2LO&#10;iulF9hYzOsVcjifvQIpTyFmejkeTEAdq6DMD6VAFHAfCOoqi5PeCheSF+sY4EA6k5LGsOOpsKSyC&#10;Ekpc/YxXQ6yIDC68FmJw6rh45ST8wanHBjcWx39wTD++bUDHG7Xyg6OslbYfO/MOf6i6qzWU7dt1&#10;G6erCFSFk7Wu9jBxVner6Ay9raHjK+L8A7HQSBgSeE/8PXy40E2JdS9htNH293vnAQ8rAVaMGtjl&#10;ErtfW2IZRuKrgmWZZgXMG/JRKcYXOSj21LI+taitXGroBIwWZBfFgPfiIHKr5TPM5yLcCiaiKNxd&#10;YurtQVn67o2Bh4uyxSLCYOEN8Sv1aGgIHngO4/LUPhNr+rH3sDB3+rD3/WR1Q3bEBk+lF1uvee2D&#10;8chrr8BjAdJfr9GpHlHH53f+BwAA//8DAFBLAwQUAAYACAAAACEAjh/Wk+AAAAAKAQAADwAAAGRy&#10;cy9kb3ducmV2LnhtbEyP0U7DMAxF35H4h8hIvLFkiLWlNJ3QBNKEJgEdH5A1XltonKrJtsLX4z3B&#10;o+2j63OL5eR6ccQxdJ40zGcKBFLtbUeNho/t800GIkRD1vSeUMM3BliWlxeFya0/0Tseq9gIDqGQ&#10;Gw1tjEMuZahbdCbM/IDEt70fnYk8jo20ozlxuOvlrVKJdKYj/tCaAVct1l/VwWlQPxuZvu2fNi9q&#10;sm69/qxe77Yrra+vpscHEBGn+AfDWZ/VoWSnnT+QDaLXkCRZwqiGVKUgGMjuz4sdk4vFHGRZyP8V&#10;yl8AAAD//wMAUEsBAi0AFAAGAAgAAAAhALaDOJL+AAAA4QEAABMAAAAAAAAAAAAAAAAAAAAAAFtD&#10;b250ZW50X1R5cGVzXS54bWxQSwECLQAUAAYACAAAACEAOP0h/9YAAACUAQAACwAAAAAAAAAAAAAA&#10;AAAvAQAAX3JlbHMvLnJlbHNQSwECLQAUAAYACAAAACEAxKY8FaUCAADGBQAADgAAAAAAAAAAAAAA&#10;AAAuAgAAZHJzL2Uyb0RvYy54bWxQSwECLQAUAAYACAAAACEAjh/Wk+AAAAAKAQAADwAAAAAAAAAA&#10;AAAAAAD/BAAAZHJzL2Rvd25yZXYueG1sUEsFBgAAAAAEAAQA8wAAAAwGAAAAAA==&#10;" adj="-4436,1849,-1074,8710" fillcolor="white [3201]" strokecolor="black [3200]" strokeweight="1pt">
            <v:textbox>
              <w:txbxContent>
                <w:p w:rsidR="00D72DB6" w:rsidRDefault="00D72DB6" w:rsidP="00D72DB6">
                  <w:pPr>
                    <w:spacing w:after="0"/>
                    <w:jc w:val="center"/>
                    <w:rPr>
                      <w:rFonts w:ascii="Times New Roman" w:hAnsi="Times New Roman"/>
                      <w:sz w:val="24"/>
                      <w:szCs w:val="24"/>
                    </w:rPr>
                  </w:pPr>
                  <w:r>
                    <w:rPr>
                      <w:rFonts w:ascii="Times New Roman" w:hAnsi="Times New Roman"/>
                      <w:sz w:val="24"/>
                      <w:szCs w:val="24"/>
                    </w:rPr>
                    <w:t>Të pa arkëtuara</w:t>
                  </w:r>
                </w:p>
                <w:p w:rsidR="00D72DB6" w:rsidRDefault="00D72DB6" w:rsidP="00D72DB6">
                  <w:pPr>
                    <w:spacing w:after="0"/>
                    <w:jc w:val="center"/>
                    <w:rPr>
                      <w:rFonts w:ascii="Times New Roman" w:hAnsi="Times New Roman"/>
                      <w:sz w:val="24"/>
                      <w:szCs w:val="24"/>
                    </w:rPr>
                  </w:pPr>
                  <w:r>
                    <w:rPr>
                      <w:rFonts w:ascii="Times New Roman" w:hAnsi="Times New Roman"/>
                      <w:sz w:val="24"/>
                      <w:szCs w:val="24"/>
                    </w:rPr>
                    <w:t xml:space="preserve">820 </w:t>
                  </w:r>
                  <w:r>
                    <w:rPr>
                      <w:rFonts w:ascii="Times New Roman" w:hAnsi="Times New Roman"/>
                      <w:color w:val="000000" w:themeColor="text1"/>
                      <w:sz w:val="24"/>
                      <w:szCs w:val="24"/>
                    </w:rPr>
                    <w:t>(në mijë lekë)</w:t>
                  </w:r>
                </w:p>
              </w:txbxContent>
            </v:textbox>
          </v:shape>
        </w:pict>
      </w:r>
      <w:r w:rsidR="00D72DB6" w:rsidRPr="00D72DB6">
        <w:rPr>
          <w:rFonts w:ascii="Times New Roman" w:hAnsi="Times New Roman"/>
          <w:b/>
          <w:color w:val="000000" w:themeColor="text1"/>
          <w:sz w:val="24"/>
          <w:szCs w:val="24"/>
        </w:rPr>
        <w:br w:type="textWrapping" w:clear="all"/>
      </w:r>
    </w:p>
    <w:p w:rsidR="00D72DB6" w:rsidRPr="00D72DB6" w:rsidRDefault="00D72DB6" w:rsidP="00D72DB6">
      <w:pPr>
        <w:pStyle w:val="Title"/>
        <w:numPr>
          <w:ilvl w:val="0"/>
          <w:numId w:val="19"/>
        </w:numPr>
        <w:spacing w:after="240" w:line="360" w:lineRule="auto"/>
        <w:ind w:left="538" w:hanging="357"/>
        <w:jc w:val="both"/>
        <w:rPr>
          <w:rFonts w:ascii="Times New Roman" w:hAnsi="Times New Roman"/>
          <w:sz w:val="24"/>
          <w:szCs w:val="24"/>
          <w:lang w:val="sq-AL"/>
        </w:rPr>
      </w:pPr>
      <w:r w:rsidRPr="00D72DB6">
        <w:rPr>
          <w:rFonts w:ascii="Times New Roman" w:hAnsi="Times New Roman"/>
          <w:sz w:val="24"/>
          <w:szCs w:val="24"/>
          <w:lang w:val="sq-AL"/>
        </w:rPr>
        <w:t>Për vitin 2017, sanksionet e vendosura janë në shumën 1820 (në mijë lekë);</w:t>
      </w:r>
    </w:p>
    <w:p w:rsidR="00D72DB6" w:rsidRPr="00D72DB6" w:rsidRDefault="00D72DB6" w:rsidP="00D72DB6">
      <w:pPr>
        <w:pStyle w:val="Title"/>
        <w:numPr>
          <w:ilvl w:val="0"/>
          <w:numId w:val="19"/>
        </w:numPr>
        <w:spacing w:after="240" w:line="360" w:lineRule="auto"/>
        <w:ind w:left="538" w:hanging="357"/>
        <w:jc w:val="both"/>
        <w:rPr>
          <w:rFonts w:ascii="Times New Roman" w:eastAsia="Batang" w:hAnsi="Times New Roman"/>
          <w:color w:val="FF0000"/>
          <w:sz w:val="24"/>
          <w:szCs w:val="24"/>
          <w:lang w:val="sq-AL"/>
        </w:rPr>
      </w:pPr>
      <w:r w:rsidRPr="00D72DB6">
        <w:rPr>
          <w:rFonts w:ascii="Times New Roman" w:hAnsi="Times New Roman"/>
          <w:sz w:val="24"/>
          <w:szCs w:val="24"/>
          <w:lang w:val="sq-AL"/>
        </w:rPr>
        <w:t xml:space="preserve">Për sanksionet e vendosura në vitin 2017, vlera e arkëtuar në shumën </w:t>
      </w:r>
      <w:r w:rsidRPr="00D72DB6">
        <w:rPr>
          <w:rFonts w:ascii="Times New Roman" w:eastAsia="Batang" w:hAnsi="Times New Roman"/>
          <w:sz w:val="24"/>
          <w:szCs w:val="24"/>
          <w:lang w:val="sq-AL"/>
        </w:rPr>
        <w:t>1000 (në mijë lekë);</w:t>
      </w:r>
    </w:p>
    <w:p w:rsidR="00D72DB6" w:rsidRPr="00D72DB6" w:rsidRDefault="00D72DB6" w:rsidP="00D72DB6">
      <w:pPr>
        <w:pStyle w:val="Title"/>
        <w:numPr>
          <w:ilvl w:val="0"/>
          <w:numId w:val="19"/>
        </w:numPr>
        <w:spacing w:after="240" w:line="360" w:lineRule="auto"/>
        <w:ind w:left="538" w:hanging="357"/>
        <w:jc w:val="both"/>
        <w:rPr>
          <w:rFonts w:ascii="Times New Roman" w:eastAsia="Batang" w:hAnsi="Times New Roman"/>
          <w:sz w:val="24"/>
          <w:szCs w:val="24"/>
          <w:lang w:val="sq-AL"/>
        </w:rPr>
      </w:pPr>
      <w:r w:rsidRPr="00D72DB6">
        <w:rPr>
          <w:rFonts w:ascii="Times New Roman" w:hAnsi="Times New Roman"/>
          <w:sz w:val="24"/>
          <w:szCs w:val="24"/>
          <w:lang w:val="sq-AL"/>
        </w:rPr>
        <w:t>Në vitin 2017 është arkëtuar edhe shuma 1590 (në mijë lekë), gjoba të vendosura në vitin 2016, por të mbartura në vitin 2017;</w:t>
      </w:r>
    </w:p>
    <w:p w:rsidR="00D72DB6" w:rsidRPr="00D72DB6" w:rsidRDefault="00D72DB6" w:rsidP="00D72DB6">
      <w:pPr>
        <w:pStyle w:val="Title"/>
        <w:numPr>
          <w:ilvl w:val="0"/>
          <w:numId w:val="19"/>
        </w:numPr>
        <w:spacing w:after="240" w:line="360" w:lineRule="auto"/>
        <w:ind w:left="538" w:hanging="357"/>
        <w:jc w:val="both"/>
        <w:rPr>
          <w:rFonts w:ascii="Times New Roman" w:eastAsia="Batang" w:hAnsi="Times New Roman"/>
          <w:sz w:val="24"/>
          <w:szCs w:val="24"/>
          <w:lang w:val="sq-AL"/>
        </w:rPr>
      </w:pPr>
      <w:r w:rsidRPr="00D72DB6">
        <w:rPr>
          <w:rFonts w:ascii="Times New Roman" w:hAnsi="Times New Roman"/>
          <w:sz w:val="24"/>
          <w:szCs w:val="24"/>
          <w:lang w:val="sq-AL"/>
        </w:rPr>
        <w:t>Shuma totale e arkëtuar në vitin 2017 është 2590 (në mijë lekë).</w:t>
      </w:r>
    </w:p>
    <w:p w:rsidR="00D72DB6" w:rsidRPr="00D72DB6" w:rsidRDefault="00D72DB6" w:rsidP="00D72DB6">
      <w:pPr>
        <w:pStyle w:val="Title"/>
        <w:spacing w:after="120" w:line="360" w:lineRule="auto"/>
        <w:jc w:val="both"/>
        <w:rPr>
          <w:rFonts w:ascii="Times New Roman" w:hAnsi="Times New Roman"/>
          <w:sz w:val="24"/>
          <w:szCs w:val="24"/>
          <w:lang w:val="sq-AL"/>
        </w:rPr>
      </w:pPr>
    </w:p>
    <w:tbl>
      <w:tblPr>
        <w:tblStyle w:val="TableGrid"/>
        <w:tblpPr w:leftFromText="180" w:rightFromText="180" w:vertAnchor="text" w:tblpY="1"/>
        <w:tblOverlap w:val="never"/>
        <w:tblW w:w="9174" w:type="dxa"/>
        <w:tblInd w:w="0" w:type="dxa"/>
        <w:tblLook w:val="04A0"/>
      </w:tblPr>
      <w:tblGrid>
        <w:gridCol w:w="1286"/>
        <w:gridCol w:w="3290"/>
        <w:gridCol w:w="4598"/>
      </w:tblGrid>
      <w:tr w:rsidR="00D72DB6" w:rsidRPr="00D72DB6" w:rsidTr="00D72DB6">
        <w:trPr>
          <w:trHeight w:val="464"/>
        </w:trPr>
        <w:tc>
          <w:tcPr>
            <w:tcW w:w="1286" w:type="dxa"/>
            <w:vMerge w:val="restart"/>
            <w:tcBorders>
              <w:top w:val="single" w:sz="4" w:space="0" w:color="auto"/>
              <w:left w:val="single" w:sz="4" w:space="0" w:color="auto"/>
              <w:bottom w:val="single" w:sz="4" w:space="0" w:color="auto"/>
              <w:right w:val="single" w:sz="4" w:space="0" w:color="auto"/>
            </w:tcBorders>
          </w:tcPr>
          <w:p w:rsidR="00D72DB6" w:rsidRPr="00D72DB6" w:rsidRDefault="00D72DB6">
            <w:pPr>
              <w:pStyle w:val="Title"/>
              <w:spacing w:line="360" w:lineRule="auto"/>
              <w:rPr>
                <w:rFonts w:ascii="Times New Roman" w:eastAsia="Batang" w:hAnsi="Times New Roman"/>
                <w:sz w:val="24"/>
                <w:szCs w:val="24"/>
                <w:lang w:val="sq-AL"/>
              </w:rPr>
            </w:pPr>
          </w:p>
          <w:p w:rsidR="00D72DB6" w:rsidRPr="00D72DB6" w:rsidRDefault="00D72DB6">
            <w:pPr>
              <w:pStyle w:val="Title"/>
              <w:spacing w:line="360" w:lineRule="auto"/>
              <w:rPr>
                <w:rFonts w:ascii="Times New Roman" w:eastAsia="Batang" w:hAnsi="Times New Roman"/>
                <w:sz w:val="24"/>
                <w:szCs w:val="24"/>
                <w:lang w:val="sq-AL"/>
              </w:rPr>
            </w:pPr>
            <w:r w:rsidRPr="00D72DB6">
              <w:rPr>
                <w:rFonts w:ascii="Times New Roman" w:eastAsia="Batang" w:hAnsi="Times New Roman"/>
                <w:sz w:val="24"/>
                <w:szCs w:val="24"/>
                <w:lang w:val="sq-AL"/>
              </w:rPr>
              <w:lastRenderedPageBreak/>
              <w:t>Viti</w:t>
            </w:r>
          </w:p>
        </w:tc>
        <w:tc>
          <w:tcPr>
            <w:tcW w:w="7888" w:type="dxa"/>
            <w:gridSpan w:val="2"/>
            <w:tcBorders>
              <w:top w:val="single" w:sz="4" w:space="0" w:color="auto"/>
              <w:left w:val="single" w:sz="4" w:space="0" w:color="auto"/>
              <w:bottom w:val="single" w:sz="4" w:space="0" w:color="auto"/>
              <w:right w:val="single" w:sz="4" w:space="0" w:color="auto"/>
            </w:tcBorders>
            <w:vAlign w:val="center"/>
            <w:hideMark/>
          </w:tcPr>
          <w:p w:rsidR="00D72DB6" w:rsidRPr="00D72DB6" w:rsidRDefault="00D72DB6">
            <w:pPr>
              <w:pStyle w:val="Title"/>
              <w:spacing w:line="360" w:lineRule="auto"/>
              <w:rPr>
                <w:rFonts w:ascii="Times New Roman" w:eastAsia="Batang" w:hAnsi="Times New Roman"/>
                <w:b/>
                <w:sz w:val="24"/>
                <w:szCs w:val="24"/>
                <w:lang w:val="sq-AL"/>
              </w:rPr>
            </w:pPr>
            <w:r w:rsidRPr="00D72DB6">
              <w:rPr>
                <w:rFonts w:ascii="Times New Roman" w:eastAsia="Batang" w:hAnsi="Times New Roman"/>
                <w:b/>
                <w:sz w:val="24"/>
                <w:szCs w:val="24"/>
                <w:lang w:val="sq-AL"/>
              </w:rPr>
              <w:lastRenderedPageBreak/>
              <w:t>Shuma e gjobave në vite 2015-2017</w:t>
            </w:r>
          </w:p>
        </w:tc>
      </w:tr>
      <w:tr w:rsidR="00D72DB6" w:rsidRPr="00D72DB6" w:rsidTr="00D72DB6">
        <w:trPr>
          <w:trHeight w:val="5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2DB6" w:rsidRPr="00D72DB6" w:rsidRDefault="00D72DB6">
            <w:pPr>
              <w:spacing w:after="0" w:line="240" w:lineRule="auto"/>
              <w:rPr>
                <w:rFonts w:ascii="Times New Roman" w:eastAsia="Batang" w:hAnsi="Times New Roman"/>
                <w:sz w:val="24"/>
                <w:szCs w:val="24"/>
              </w:rPr>
            </w:pPr>
          </w:p>
        </w:tc>
        <w:tc>
          <w:tcPr>
            <w:tcW w:w="3290" w:type="dxa"/>
            <w:tcBorders>
              <w:top w:val="single" w:sz="4" w:space="0" w:color="auto"/>
              <w:left w:val="single" w:sz="4" w:space="0" w:color="auto"/>
              <w:bottom w:val="single" w:sz="4" w:space="0" w:color="auto"/>
              <w:right w:val="single" w:sz="4" w:space="0" w:color="auto"/>
            </w:tcBorders>
            <w:vAlign w:val="center"/>
            <w:hideMark/>
          </w:tcPr>
          <w:p w:rsidR="00D72DB6" w:rsidRPr="00D72DB6" w:rsidRDefault="00D72DB6">
            <w:pPr>
              <w:pStyle w:val="Title"/>
              <w:spacing w:line="360" w:lineRule="auto"/>
              <w:rPr>
                <w:rFonts w:ascii="Times New Roman" w:eastAsia="Batang" w:hAnsi="Times New Roman"/>
                <w:b/>
                <w:sz w:val="24"/>
                <w:szCs w:val="24"/>
                <w:lang w:val="sq-AL"/>
              </w:rPr>
            </w:pPr>
            <w:r w:rsidRPr="00D72DB6">
              <w:rPr>
                <w:rFonts w:ascii="Times New Roman" w:eastAsia="Batang" w:hAnsi="Times New Roman"/>
                <w:b/>
                <w:sz w:val="24"/>
                <w:szCs w:val="24"/>
                <w:lang w:val="sq-AL"/>
              </w:rPr>
              <w:t>Të arkëtuara</w:t>
            </w:r>
          </w:p>
        </w:tc>
        <w:tc>
          <w:tcPr>
            <w:tcW w:w="4598" w:type="dxa"/>
            <w:tcBorders>
              <w:top w:val="single" w:sz="4" w:space="0" w:color="auto"/>
              <w:left w:val="single" w:sz="4" w:space="0" w:color="auto"/>
              <w:bottom w:val="single" w:sz="4" w:space="0" w:color="auto"/>
              <w:right w:val="single" w:sz="4" w:space="0" w:color="auto"/>
            </w:tcBorders>
            <w:vAlign w:val="center"/>
            <w:hideMark/>
          </w:tcPr>
          <w:p w:rsidR="00D72DB6" w:rsidRPr="00D72DB6" w:rsidRDefault="00D72DB6">
            <w:pPr>
              <w:pStyle w:val="Title"/>
              <w:spacing w:line="360" w:lineRule="auto"/>
              <w:rPr>
                <w:rFonts w:ascii="Times New Roman" w:eastAsia="Batang" w:hAnsi="Times New Roman"/>
                <w:b/>
                <w:sz w:val="24"/>
                <w:szCs w:val="24"/>
                <w:lang w:val="sq-AL"/>
              </w:rPr>
            </w:pPr>
            <w:r w:rsidRPr="00D72DB6">
              <w:rPr>
                <w:rFonts w:ascii="Times New Roman" w:eastAsia="Batang" w:hAnsi="Times New Roman"/>
                <w:b/>
                <w:sz w:val="24"/>
                <w:szCs w:val="24"/>
                <w:lang w:val="sq-AL"/>
              </w:rPr>
              <w:t>Të pa arkëtuara</w:t>
            </w:r>
          </w:p>
        </w:tc>
      </w:tr>
      <w:tr w:rsidR="00D72DB6" w:rsidRPr="00D72DB6" w:rsidTr="00D72DB6">
        <w:trPr>
          <w:trHeight w:val="567"/>
        </w:trPr>
        <w:tc>
          <w:tcPr>
            <w:tcW w:w="1286" w:type="dxa"/>
            <w:tcBorders>
              <w:top w:val="single" w:sz="4" w:space="0" w:color="auto"/>
              <w:left w:val="single" w:sz="4" w:space="0" w:color="auto"/>
              <w:bottom w:val="single" w:sz="4" w:space="0" w:color="auto"/>
              <w:right w:val="single" w:sz="4" w:space="0" w:color="auto"/>
            </w:tcBorders>
            <w:vAlign w:val="center"/>
            <w:hideMark/>
          </w:tcPr>
          <w:p w:rsidR="00D72DB6" w:rsidRPr="00D72DB6" w:rsidRDefault="00D72DB6">
            <w:pPr>
              <w:pStyle w:val="Title"/>
              <w:spacing w:line="360" w:lineRule="auto"/>
              <w:rPr>
                <w:rFonts w:ascii="Times New Roman" w:eastAsia="Batang" w:hAnsi="Times New Roman"/>
                <w:sz w:val="24"/>
                <w:szCs w:val="24"/>
                <w:lang w:val="sq-AL"/>
              </w:rPr>
            </w:pPr>
            <w:r w:rsidRPr="00D72DB6">
              <w:rPr>
                <w:rFonts w:ascii="Times New Roman" w:eastAsia="Batang" w:hAnsi="Times New Roman"/>
                <w:sz w:val="24"/>
                <w:szCs w:val="24"/>
                <w:lang w:val="sq-AL"/>
              </w:rPr>
              <w:lastRenderedPageBreak/>
              <w:t>2015</w:t>
            </w:r>
          </w:p>
        </w:tc>
        <w:tc>
          <w:tcPr>
            <w:tcW w:w="3290" w:type="dxa"/>
            <w:tcBorders>
              <w:top w:val="single" w:sz="4" w:space="0" w:color="auto"/>
              <w:left w:val="single" w:sz="4" w:space="0" w:color="auto"/>
              <w:bottom w:val="single" w:sz="4" w:space="0" w:color="auto"/>
              <w:right w:val="single" w:sz="4" w:space="0" w:color="auto"/>
            </w:tcBorders>
            <w:vAlign w:val="center"/>
            <w:hideMark/>
          </w:tcPr>
          <w:p w:rsidR="00D72DB6" w:rsidRPr="00D72DB6" w:rsidRDefault="00D72DB6">
            <w:pPr>
              <w:pStyle w:val="Title"/>
              <w:spacing w:line="360" w:lineRule="auto"/>
              <w:rPr>
                <w:rFonts w:ascii="Times New Roman" w:eastAsia="Batang" w:hAnsi="Times New Roman"/>
                <w:sz w:val="24"/>
                <w:szCs w:val="24"/>
                <w:lang w:val="sq-AL"/>
              </w:rPr>
            </w:pPr>
            <w:r w:rsidRPr="00D72DB6">
              <w:rPr>
                <w:rFonts w:ascii="Times New Roman" w:eastAsia="Batang" w:hAnsi="Times New Roman"/>
                <w:sz w:val="24"/>
                <w:szCs w:val="24"/>
                <w:lang w:val="sq-AL"/>
              </w:rPr>
              <w:t xml:space="preserve">4580 </w:t>
            </w:r>
            <w:r w:rsidRPr="00D72DB6">
              <w:rPr>
                <w:rFonts w:ascii="Times New Roman" w:hAnsi="Times New Roman"/>
                <w:sz w:val="24"/>
                <w:szCs w:val="24"/>
                <w:lang w:val="sq-AL"/>
              </w:rPr>
              <w:t>(në mijë lekë)</w:t>
            </w:r>
          </w:p>
        </w:tc>
        <w:tc>
          <w:tcPr>
            <w:tcW w:w="4598" w:type="dxa"/>
            <w:tcBorders>
              <w:top w:val="single" w:sz="4" w:space="0" w:color="auto"/>
              <w:left w:val="single" w:sz="4" w:space="0" w:color="auto"/>
              <w:bottom w:val="single" w:sz="4" w:space="0" w:color="auto"/>
              <w:right w:val="single" w:sz="4" w:space="0" w:color="auto"/>
            </w:tcBorders>
            <w:vAlign w:val="center"/>
            <w:hideMark/>
          </w:tcPr>
          <w:p w:rsidR="00D72DB6" w:rsidRPr="00D72DB6" w:rsidRDefault="00D72DB6">
            <w:pPr>
              <w:pStyle w:val="Title"/>
              <w:spacing w:line="360" w:lineRule="auto"/>
              <w:rPr>
                <w:rFonts w:ascii="Times New Roman" w:eastAsia="Batang" w:hAnsi="Times New Roman"/>
                <w:sz w:val="24"/>
                <w:szCs w:val="24"/>
                <w:lang w:val="sq-AL"/>
              </w:rPr>
            </w:pPr>
            <w:r w:rsidRPr="00D72DB6">
              <w:rPr>
                <w:rFonts w:ascii="Times New Roman" w:eastAsia="Batang" w:hAnsi="Times New Roman"/>
                <w:sz w:val="24"/>
                <w:szCs w:val="24"/>
                <w:lang w:val="sq-AL"/>
              </w:rPr>
              <w:t xml:space="preserve">2070  </w:t>
            </w:r>
            <w:r w:rsidRPr="00D72DB6">
              <w:rPr>
                <w:rFonts w:ascii="Times New Roman" w:hAnsi="Times New Roman"/>
                <w:sz w:val="24"/>
                <w:szCs w:val="24"/>
                <w:lang w:val="sq-AL"/>
              </w:rPr>
              <w:t>(në mijë lekë)</w:t>
            </w:r>
          </w:p>
        </w:tc>
      </w:tr>
      <w:tr w:rsidR="00D72DB6" w:rsidRPr="00D72DB6" w:rsidTr="00D72DB6">
        <w:trPr>
          <w:trHeight w:val="567"/>
        </w:trPr>
        <w:tc>
          <w:tcPr>
            <w:tcW w:w="1286" w:type="dxa"/>
            <w:tcBorders>
              <w:top w:val="single" w:sz="4" w:space="0" w:color="auto"/>
              <w:left w:val="single" w:sz="4" w:space="0" w:color="auto"/>
              <w:bottom w:val="single" w:sz="4" w:space="0" w:color="auto"/>
              <w:right w:val="single" w:sz="4" w:space="0" w:color="auto"/>
            </w:tcBorders>
            <w:vAlign w:val="center"/>
            <w:hideMark/>
          </w:tcPr>
          <w:p w:rsidR="00D72DB6" w:rsidRPr="00D72DB6" w:rsidRDefault="00D72DB6">
            <w:pPr>
              <w:pStyle w:val="Title"/>
              <w:spacing w:line="360" w:lineRule="auto"/>
              <w:rPr>
                <w:rFonts w:ascii="Times New Roman" w:eastAsia="Batang" w:hAnsi="Times New Roman"/>
                <w:sz w:val="24"/>
                <w:szCs w:val="24"/>
                <w:lang w:val="sq-AL"/>
              </w:rPr>
            </w:pPr>
            <w:r w:rsidRPr="00D72DB6">
              <w:rPr>
                <w:rFonts w:ascii="Times New Roman" w:eastAsia="Batang" w:hAnsi="Times New Roman"/>
                <w:sz w:val="24"/>
                <w:szCs w:val="24"/>
                <w:lang w:val="sq-AL"/>
              </w:rPr>
              <w:t>2016</w:t>
            </w:r>
          </w:p>
        </w:tc>
        <w:tc>
          <w:tcPr>
            <w:tcW w:w="3290" w:type="dxa"/>
            <w:tcBorders>
              <w:top w:val="single" w:sz="4" w:space="0" w:color="auto"/>
              <w:left w:val="single" w:sz="4" w:space="0" w:color="auto"/>
              <w:bottom w:val="single" w:sz="4" w:space="0" w:color="auto"/>
              <w:right w:val="single" w:sz="4" w:space="0" w:color="auto"/>
            </w:tcBorders>
            <w:vAlign w:val="center"/>
            <w:hideMark/>
          </w:tcPr>
          <w:p w:rsidR="00D72DB6" w:rsidRPr="00D72DB6" w:rsidRDefault="00D72DB6">
            <w:pPr>
              <w:pStyle w:val="Title"/>
              <w:spacing w:line="360" w:lineRule="auto"/>
              <w:rPr>
                <w:rFonts w:ascii="Times New Roman" w:eastAsia="Batang" w:hAnsi="Times New Roman"/>
                <w:sz w:val="24"/>
                <w:szCs w:val="24"/>
                <w:lang w:val="sq-AL"/>
              </w:rPr>
            </w:pPr>
            <w:r w:rsidRPr="00D72DB6">
              <w:rPr>
                <w:rFonts w:ascii="Times New Roman" w:eastAsia="Batang" w:hAnsi="Times New Roman"/>
                <w:sz w:val="24"/>
                <w:szCs w:val="24"/>
                <w:lang w:val="sq-AL"/>
              </w:rPr>
              <w:t xml:space="preserve">3148 </w:t>
            </w:r>
            <w:r w:rsidRPr="00D72DB6">
              <w:rPr>
                <w:rFonts w:ascii="Times New Roman" w:hAnsi="Times New Roman"/>
                <w:sz w:val="24"/>
                <w:szCs w:val="24"/>
                <w:lang w:val="sq-AL"/>
              </w:rPr>
              <w:t>(në mijë lekë)</w:t>
            </w:r>
          </w:p>
        </w:tc>
        <w:tc>
          <w:tcPr>
            <w:tcW w:w="4598" w:type="dxa"/>
            <w:tcBorders>
              <w:top w:val="single" w:sz="4" w:space="0" w:color="auto"/>
              <w:left w:val="single" w:sz="4" w:space="0" w:color="auto"/>
              <w:bottom w:val="single" w:sz="4" w:space="0" w:color="auto"/>
              <w:right w:val="single" w:sz="4" w:space="0" w:color="auto"/>
            </w:tcBorders>
            <w:vAlign w:val="center"/>
            <w:hideMark/>
          </w:tcPr>
          <w:p w:rsidR="00D72DB6" w:rsidRPr="00D72DB6" w:rsidRDefault="00D72DB6">
            <w:pPr>
              <w:pStyle w:val="Title"/>
              <w:spacing w:line="360" w:lineRule="auto"/>
              <w:rPr>
                <w:rFonts w:ascii="Times New Roman" w:eastAsia="Batang" w:hAnsi="Times New Roman"/>
                <w:sz w:val="24"/>
                <w:szCs w:val="24"/>
                <w:lang w:val="sq-AL"/>
              </w:rPr>
            </w:pPr>
            <w:r w:rsidRPr="00D72DB6">
              <w:rPr>
                <w:rFonts w:ascii="Times New Roman" w:hAnsi="Times New Roman"/>
                <w:sz w:val="24"/>
                <w:szCs w:val="24"/>
                <w:lang w:val="sq-AL"/>
              </w:rPr>
              <w:t>1052 (në mijë lekë)</w:t>
            </w:r>
          </w:p>
        </w:tc>
      </w:tr>
      <w:tr w:rsidR="00D72DB6" w:rsidRPr="00D72DB6" w:rsidTr="00D72DB6">
        <w:trPr>
          <w:trHeight w:val="567"/>
        </w:trPr>
        <w:tc>
          <w:tcPr>
            <w:tcW w:w="1286" w:type="dxa"/>
            <w:tcBorders>
              <w:top w:val="single" w:sz="4" w:space="0" w:color="auto"/>
              <w:left w:val="single" w:sz="4" w:space="0" w:color="auto"/>
              <w:bottom w:val="single" w:sz="4" w:space="0" w:color="auto"/>
              <w:right w:val="single" w:sz="4" w:space="0" w:color="auto"/>
            </w:tcBorders>
            <w:vAlign w:val="center"/>
            <w:hideMark/>
          </w:tcPr>
          <w:p w:rsidR="00D72DB6" w:rsidRPr="00D72DB6" w:rsidRDefault="00D72DB6">
            <w:pPr>
              <w:pStyle w:val="Title"/>
              <w:spacing w:line="360" w:lineRule="auto"/>
              <w:rPr>
                <w:rFonts w:ascii="Times New Roman" w:eastAsia="Batang" w:hAnsi="Times New Roman"/>
                <w:sz w:val="24"/>
                <w:szCs w:val="24"/>
                <w:lang w:val="sq-AL"/>
              </w:rPr>
            </w:pPr>
            <w:r w:rsidRPr="00D72DB6">
              <w:rPr>
                <w:rFonts w:ascii="Times New Roman" w:eastAsia="Batang" w:hAnsi="Times New Roman"/>
                <w:sz w:val="24"/>
                <w:szCs w:val="24"/>
                <w:lang w:val="sq-AL"/>
              </w:rPr>
              <w:t>2017</w:t>
            </w:r>
          </w:p>
        </w:tc>
        <w:tc>
          <w:tcPr>
            <w:tcW w:w="3290" w:type="dxa"/>
            <w:tcBorders>
              <w:top w:val="single" w:sz="4" w:space="0" w:color="auto"/>
              <w:left w:val="single" w:sz="4" w:space="0" w:color="auto"/>
              <w:bottom w:val="single" w:sz="4" w:space="0" w:color="auto"/>
              <w:right w:val="single" w:sz="4" w:space="0" w:color="auto"/>
            </w:tcBorders>
            <w:vAlign w:val="center"/>
            <w:hideMark/>
          </w:tcPr>
          <w:p w:rsidR="00D72DB6" w:rsidRPr="00D72DB6" w:rsidRDefault="00D72DB6">
            <w:pPr>
              <w:pStyle w:val="Title"/>
              <w:spacing w:line="360" w:lineRule="auto"/>
              <w:rPr>
                <w:rFonts w:ascii="Times New Roman" w:eastAsia="Batang" w:hAnsi="Times New Roman"/>
                <w:sz w:val="24"/>
                <w:szCs w:val="24"/>
                <w:lang w:val="sq-AL"/>
              </w:rPr>
            </w:pPr>
            <w:r w:rsidRPr="00D72DB6">
              <w:rPr>
                <w:rFonts w:ascii="Times New Roman" w:eastAsia="Batang" w:hAnsi="Times New Roman"/>
                <w:sz w:val="24"/>
                <w:szCs w:val="24"/>
                <w:lang w:val="sq-AL"/>
              </w:rPr>
              <w:t xml:space="preserve">2590 </w:t>
            </w:r>
            <w:r w:rsidRPr="00D72DB6">
              <w:rPr>
                <w:rFonts w:ascii="Times New Roman" w:hAnsi="Times New Roman"/>
                <w:sz w:val="24"/>
                <w:szCs w:val="24"/>
                <w:lang w:val="sq-AL"/>
              </w:rPr>
              <w:t>(në mijë lekë)</w:t>
            </w:r>
          </w:p>
        </w:tc>
        <w:tc>
          <w:tcPr>
            <w:tcW w:w="4598" w:type="dxa"/>
            <w:tcBorders>
              <w:top w:val="single" w:sz="4" w:space="0" w:color="auto"/>
              <w:left w:val="single" w:sz="4" w:space="0" w:color="auto"/>
              <w:bottom w:val="single" w:sz="4" w:space="0" w:color="auto"/>
              <w:right w:val="single" w:sz="4" w:space="0" w:color="auto"/>
            </w:tcBorders>
            <w:vAlign w:val="center"/>
            <w:hideMark/>
          </w:tcPr>
          <w:p w:rsidR="00D72DB6" w:rsidRPr="00D72DB6" w:rsidRDefault="00D72DB6">
            <w:pPr>
              <w:pStyle w:val="Title"/>
              <w:spacing w:line="360" w:lineRule="auto"/>
              <w:rPr>
                <w:rFonts w:ascii="Times New Roman" w:eastAsia="Batang" w:hAnsi="Times New Roman"/>
                <w:sz w:val="24"/>
                <w:szCs w:val="24"/>
                <w:lang w:val="sq-AL"/>
              </w:rPr>
            </w:pPr>
            <w:r w:rsidRPr="00D72DB6">
              <w:rPr>
                <w:rFonts w:ascii="Times New Roman" w:hAnsi="Times New Roman"/>
                <w:sz w:val="24"/>
                <w:szCs w:val="24"/>
                <w:lang w:val="sq-AL"/>
              </w:rPr>
              <w:t>820 (në mijë lekë)</w:t>
            </w:r>
          </w:p>
        </w:tc>
      </w:tr>
      <w:tr w:rsidR="00D72DB6" w:rsidRPr="00D72DB6" w:rsidTr="00D72DB6">
        <w:trPr>
          <w:trHeight w:val="567"/>
        </w:trPr>
        <w:tc>
          <w:tcPr>
            <w:tcW w:w="4576" w:type="dxa"/>
            <w:gridSpan w:val="2"/>
            <w:tcBorders>
              <w:top w:val="single" w:sz="4" w:space="0" w:color="auto"/>
              <w:left w:val="single" w:sz="4" w:space="0" w:color="auto"/>
              <w:bottom w:val="single" w:sz="4" w:space="0" w:color="auto"/>
              <w:right w:val="single" w:sz="4" w:space="0" w:color="auto"/>
            </w:tcBorders>
            <w:vAlign w:val="center"/>
            <w:hideMark/>
          </w:tcPr>
          <w:p w:rsidR="00D72DB6" w:rsidRPr="00D72DB6" w:rsidRDefault="00D72DB6">
            <w:pPr>
              <w:pStyle w:val="Title"/>
              <w:spacing w:line="360" w:lineRule="auto"/>
              <w:rPr>
                <w:rFonts w:ascii="Times New Roman" w:eastAsia="Batang" w:hAnsi="Times New Roman"/>
                <w:sz w:val="24"/>
                <w:szCs w:val="24"/>
                <w:lang w:val="sq-AL"/>
              </w:rPr>
            </w:pPr>
            <w:r w:rsidRPr="00D72DB6">
              <w:rPr>
                <w:rFonts w:ascii="Times New Roman" w:eastAsia="Batang" w:hAnsi="Times New Roman"/>
                <w:sz w:val="24"/>
                <w:szCs w:val="24"/>
                <w:lang w:val="sq-AL"/>
              </w:rPr>
              <w:t xml:space="preserve">Totali                     10318 </w:t>
            </w:r>
            <w:r w:rsidRPr="00D72DB6">
              <w:rPr>
                <w:rFonts w:ascii="Times New Roman" w:hAnsi="Times New Roman"/>
                <w:sz w:val="24"/>
                <w:szCs w:val="24"/>
                <w:lang w:val="sq-AL"/>
              </w:rPr>
              <w:t>(në mijë lekë)</w:t>
            </w:r>
          </w:p>
        </w:tc>
        <w:tc>
          <w:tcPr>
            <w:tcW w:w="4598" w:type="dxa"/>
            <w:tcBorders>
              <w:top w:val="single" w:sz="4" w:space="0" w:color="auto"/>
              <w:left w:val="single" w:sz="4" w:space="0" w:color="auto"/>
              <w:bottom w:val="single" w:sz="4" w:space="0" w:color="auto"/>
              <w:right w:val="single" w:sz="4" w:space="0" w:color="auto"/>
            </w:tcBorders>
            <w:vAlign w:val="center"/>
            <w:hideMark/>
          </w:tcPr>
          <w:p w:rsidR="00D72DB6" w:rsidRPr="00D72DB6" w:rsidRDefault="00D72DB6">
            <w:pPr>
              <w:pStyle w:val="Title"/>
              <w:spacing w:line="360" w:lineRule="auto"/>
              <w:rPr>
                <w:rFonts w:ascii="Times New Roman" w:hAnsi="Times New Roman"/>
                <w:sz w:val="24"/>
                <w:szCs w:val="24"/>
                <w:lang w:val="sq-AL"/>
              </w:rPr>
            </w:pPr>
            <w:r w:rsidRPr="00D72DB6">
              <w:rPr>
                <w:rFonts w:ascii="Times New Roman" w:hAnsi="Times New Roman"/>
                <w:sz w:val="24"/>
                <w:szCs w:val="24"/>
                <w:lang w:val="sq-AL"/>
              </w:rPr>
              <w:t>3942 (në mijë lekë)</w:t>
            </w:r>
          </w:p>
        </w:tc>
      </w:tr>
    </w:tbl>
    <w:p w:rsidR="00D72DB6" w:rsidRPr="00D72DB6" w:rsidRDefault="00D72DB6" w:rsidP="00D72DB6">
      <w:pPr>
        <w:pStyle w:val="Title"/>
        <w:tabs>
          <w:tab w:val="left" w:pos="2827"/>
        </w:tabs>
        <w:spacing w:after="120" w:line="360" w:lineRule="auto"/>
        <w:jc w:val="both"/>
        <w:rPr>
          <w:rFonts w:ascii="Times New Roman" w:eastAsia="Batang" w:hAnsi="Times New Roman"/>
          <w:sz w:val="24"/>
          <w:szCs w:val="24"/>
          <w:lang w:val="sq-AL"/>
        </w:rPr>
      </w:pPr>
    </w:p>
    <w:p w:rsidR="00D72DB6" w:rsidRPr="00D72DB6" w:rsidRDefault="00D72DB6" w:rsidP="00D72DB6">
      <w:pPr>
        <w:pStyle w:val="Title"/>
        <w:tabs>
          <w:tab w:val="left" w:pos="2827"/>
        </w:tabs>
        <w:spacing w:after="120" w:line="360" w:lineRule="auto"/>
        <w:jc w:val="both"/>
        <w:rPr>
          <w:rFonts w:ascii="Times New Roman" w:eastAsia="Batang" w:hAnsi="Times New Roman"/>
          <w:sz w:val="24"/>
          <w:szCs w:val="24"/>
          <w:lang w:val="sq-AL"/>
        </w:rPr>
      </w:pPr>
    </w:p>
    <w:p w:rsidR="00D72DB6" w:rsidRPr="00D72DB6" w:rsidRDefault="00D72DB6" w:rsidP="00D72DB6">
      <w:pPr>
        <w:pStyle w:val="Title"/>
        <w:tabs>
          <w:tab w:val="left" w:pos="2827"/>
        </w:tabs>
        <w:spacing w:after="120" w:line="360" w:lineRule="auto"/>
        <w:jc w:val="both"/>
        <w:rPr>
          <w:rFonts w:ascii="Times New Roman" w:eastAsia="Batang" w:hAnsi="Times New Roman"/>
          <w:sz w:val="24"/>
          <w:szCs w:val="24"/>
          <w:lang w:val="sq-AL"/>
        </w:rPr>
      </w:pPr>
    </w:p>
    <w:p w:rsidR="00D72DB6" w:rsidRPr="00D72DB6" w:rsidRDefault="00D72DB6" w:rsidP="00D72DB6">
      <w:pPr>
        <w:pStyle w:val="Heading1"/>
        <w:rPr>
          <w:rFonts w:ascii="Times New Roman" w:hAnsi="Times New Roman" w:cs="Times New Roman"/>
          <w:b/>
          <w:sz w:val="24"/>
          <w:szCs w:val="24"/>
        </w:rPr>
      </w:pPr>
      <w:bookmarkStart w:id="35" w:name="_Toc507424906"/>
      <w:r w:rsidRPr="00D72DB6">
        <w:rPr>
          <w:rFonts w:ascii="Times New Roman" w:hAnsi="Times New Roman" w:cs="Times New Roman"/>
          <w:b/>
          <w:sz w:val="24"/>
          <w:szCs w:val="24"/>
        </w:rPr>
        <w:t>9. PROBLEMATIKAT PËR VITIN 2017</w:t>
      </w:r>
      <w:bookmarkEnd w:id="35"/>
    </w:p>
    <w:p w:rsidR="00D72DB6" w:rsidRPr="00D72DB6" w:rsidRDefault="00D72DB6" w:rsidP="00D72DB6">
      <w:pPr>
        <w:tabs>
          <w:tab w:val="left" w:pos="270"/>
          <w:tab w:val="left" w:pos="450"/>
        </w:tabs>
        <w:spacing w:after="0" w:line="360" w:lineRule="auto"/>
        <w:rPr>
          <w:rFonts w:ascii="Times New Roman" w:hAnsi="Times New Roman"/>
          <w:b/>
          <w:color w:val="0070C0"/>
          <w:sz w:val="24"/>
          <w:szCs w:val="24"/>
        </w:rPr>
      </w:pPr>
    </w:p>
    <w:p w:rsidR="00D72DB6" w:rsidRPr="00D72DB6" w:rsidRDefault="00D72DB6" w:rsidP="00D72DB6">
      <w:pPr>
        <w:shd w:val="clear" w:color="auto" w:fill="FFFFFF" w:themeFill="background1"/>
        <w:autoSpaceDE w:val="0"/>
        <w:autoSpaceDN w:val="0"/>
        <w:adjustRightInd w:val="0"/>
        <w:spacing w:after="180" w:line="360" w:lineRule="auto"/>
        <w:ind w:right="-64"/>
        <w:jc w:val="both"/>
        <w:rPr>
          <w:rFonts w:ascii="Times New Roman" w:hAnsi="Times New Roman"/>
          <w:sz w:val="24"/>
          <w:szCs w:val="24"/>
        </w:rPr>
      </w:pPr>
      <w:r w:rsidRPr="00D72DB6">
        <w:rPr>
          <w:rFonts w:ascii="Times New Roman" w:hAnsi="Times New Roman"/>
          <w:sz w:val="24"/>
          <w:szCs w:val="24"/>
        </w:rPr>
        <w:t>Analiza e vitit të kaluar nga monitorimi apo mbikëqyrja e realizuar në fushën e mbrojtjes së të dhënave personale, në zbatimin e ligjit mbi të drejtën e informimit dhe njoftimit e konsultimit publik si dhe krahasimi i treguesve në shifra, janë elementë thelbësorë për përcaktimin e problematikave të shfaqura gjatë kësaj periudhe raportimi.</w:t>
      </w:r>
    </w:p>
    <w:p w:rsidR="00D72DB6" w:rsidRPr="00D72DB6" w:rsidRDefault="00D72DB6" w:rsidP="00D72DB6">
      <w:pPr>
        <w:pStyle w:val="Standard"/>
        <w:spacing w:after="120" w:line="360" w:lineRule="auto"/>
        <w:jc w:val="both"/>
        <w:rPr>
          <w:rFonts w:ascii="Times New Roman" w:hAnsi="Times New Roman" w:cs="Times New Roman"/>
          <w:sz w:val="24"/>
          <w:lang w:val="sq-AL"/>
        </w:rPr>
      </w:pPr>
      <w:r w:rsidRPr="00D72DB6">
        <w:rPr>
          <w:rFonts w:ascii="Times New Roman" w:hAnsi="Times New Roman" w:cs="Times New Roman"/>
          <w:sz w:val="24"/>
          <w:lang w:val="sq-AL"/>
        </w:rPr>
        <w:t>Për përmbushjen e detyrimeve të autoriteteve publike që burojnë nga ligji nr. 119/2014 “Për të drejtën e informimit”, ka ende nevojë për t’u përmirësuar:</w:t>
      </w:r>
    </w:p>
    <w:p w:rsidR="00D72DB6" w:rsidRPr="00D72DB6" w:rsidRDefault="00D72DB6" w:rsidP="00D72DB6">
      <w:pPr>
        <w:pStyle w:val="Standard"/>
        <w:numPr>
          <w:ilvl w:val="0"/>
          <w:numId w:val="20"/>
        </w:numPr>
        <w:spacing w:after="60" w:line="360" w:lineRule="auto"/>
        <w:ind w:left="357" w:hanging="357"/>
        <w:jc w:val="both"/>
        <w:rPr>
          <w:rFonts w:ascii="Times New Roman" w:hAnsi="Times New Roman" w:cs="Times New Roman"/>
          <w:sz w:val="24"/>
          <w:lang w:val="sq-AL"/>
        </w:rPr>
      </w:pPr>
      <w:r w:rsidRPr="00D72DB6">
        <w:rPr>
          <w:rFonts w:ascii="Times New Roman" w:hAnsi="Times New Roman" w:cs="Times New Roman"/>
          <w:sz w:val="24"/>
          <w:lang w:val="sq-AL"/>
        </w:rPr>
        <w:t>Trajtimi i ankesave në afat për shkak të mungesës së kapaciteteve të burimeve njerëzore në strukturën që merret me të drejtën e informimit;</w:t>
      </w:r>
    </w:p>
    <w:p w:rsidR="00D72DB6" w:rsidRPr="00D72DB6" w:rsidRDefault="00D72DB6" w:rsidP="00D72DB6">
      <w:pPr>
        <w:pStyle w:val="Standard"/>
        <w:numPr>
          <w:ilvl w:val="0"/>
          <w:numId w:val="20"/>
        </w:numPr>
        <w:spacing w:after="60" w:line="360" w:lineRule="auto"/>
        <w:ind w:left="357" w:hanging="357"/>
        <w:jc w:val="both"/>
        <w:rPr>
          <w:rFonts w:ascii="Times New Roman" w:hAnsi="Times New Roman" w:cs="Times New Roman"/>
          <w:sz w:val="24"/>
          <w:lang w:val="sq-AL"/>
        </w:rPr>
      </w:pPr>
      <w:r w:rsidRPr="00D72DB6">
        <w:rPr>
          <w:rFonts w:ascii="Times New Roman" w:hAnsi="Times New Roman" w:cs="Times New Roman"/>
          <w:sz w:val="24"/>
          <w:lang w:val="sq-AL"/>
        </w:rPr>
        <w:t xml:space="preserve">Shumica e autoriteteve publike nuk kanë programe të plota dhe të përditësuara transparence; </w:t>
      </w:r>
    </w:p>
    <w:p w:rsidR="00D72DB6" w:rsidRPr="00D72DB6" w:rsidRDefault="00D72DB6" w:rsidP="00D72DB6">
      <w:pPr>
        <w:pStyle w:val="Standard"/>
        <w:numPr>
          <w:ilvl w:val="0"/>
          <w:numId w:val="20"/>
        </w:numPr>
        <w:spacing w:after="60" w:line="360" w:lineRule="auto"/>
        <w:ind w:left="357" w:hanging="357"/>
        <w:jc w:val="both"/>
        <w:rPr>
          <w:rFonts w:ascii="Times New Roman" w:hAnsi="Times New Roman" w:cs="Times New Roman"/>
          <w:sz w:val="24"/>
          <w:lang w:val="sq-AL"/>
        </w:rPr>
      </w:pPr>
      <w:r w:rsidRPr="00D72DB6">
        <w:rPr>
          <w:rFonts w:ascii="Times New Roman" w:hAnsi="Times New Roman" w:cs="Times New Roman"/>
          <w:sz w:val="24"/>
          <w:lang w:val="sq-AL"/>
        </w:rPr>
        <w:t xml:space="preserve">Koordinatorët nuk zotërojnë njohuritë e nevojshme për kuadrin ligjor dhe rregullator të administratës publike çka sjell që zbatimi i këtij ligji të mos jetë në nivelin e duhur; </w:t>
      </w:r>
    </w:p>
    <w:p w:rsidR="00D72DB6" w:rsidRPr="00D72DB6" w:rsidRDefault="00D72DB6" w:rsidP="00D72DB6">
      <w:pPr>
        <w:pStyle w:val="Standard"/>
        <w:numPr>
          <w:ilvl w:val="0"/>
          <w:numId w:val="20"/>
        </w:numPr>
        <w:spacing w:after="60" w:line="360" w:lineRule="auto"/>
        <w:ind w:left="357" w:hanging="357"/>
        <w:jc w:val="both"/>
        <w:rPr>
          <w:rFonts w:ascii="Times New Roman" w:hAnsi="Times New Roman" w:cs="Times New Roman"/>
          <w:sz w:val="24"/>
          <w:lang w:val="sq-AL"/>
        </w:rPr>
      </w:pPr>
      <w:r w:rsidRPr="00D72DB6">
        <w:rPr>
          <w:rFonts w:ascii="Times New Roman" w:hAnsi="Times New Roman" w:cs="Times New Roman"/>
          <w:sz w:val="24"/>
          <w:lang w:val="sq-AL"/>
        </w:rPr>
        <w:t>Konstatohet se koordinatorët e të drejtës për informim të institucioneve të pushtetit qendror, janë në nivel specialisti dhe për rrjedhim kanë akses të limituar në strukturat e tjera;</w:t>
      </w:r>
    </w:p>
    <w:p w:rsidR="00D72DB6" w:rsidRPr="00D72DB6" w:rsidRDefault="00D72DB6" w:rsidP="00D72DB6">
      <w:pPr>
        <w:pStyle w:val="Standard"/>
        <w:numPr>
          <w:ilvl w:val="0"/>
          <w:numId w:val="20"/>
        </w:numPr>
        <w:spacing w:after="60" w:line="360" w:lineRule="auto"/>
        <w:ind w:left="357" w:hanging="357"/>
        <w:jc w:val="both"/>
        <w:rPr>
          <w:rFonts w:ascii="Times New Roman" w:hAnsi="Times New Roman" w:cs="Times New Roman"/>
          <w:sz w:val="24"/>
          <w:lang w:val="sq-AL"/>
        </w:rPr>
      </w:pPr>
      <w:r w:rsidRPr="00D72DB6">
        <w:rPr>
          <w:rFonts w:ascii="Times New Roman" w:hAnsi="Times New Roman" w:cs="Times New Roman"/>
          <w:sz w:val="24"/>
          <w:lang w:val="sq-AL"/>
        </w:rPr>
        <w:t xml:space="preserve">Kërkohet që koordinatorët të jenë të trajnuar, të kualifikuar dhe të stimuluar financiarisht; </w:t>
      </w:r>
    </w:p>
    <w:p w:rsidR="00D72DB6" w:rsidRPr="00D72DB6" w:rsidRDefault="00D72DB6" w:rsidP="00D72DB6">
      <w:pPr>
        <w:pStyle w:val="Standard"/>
        <w:numPr>
          <w:ilvl w:val="0"/>
          <w:numId w:val="20"/>
        </w:numPr>
        <w:spacing w:after="60" w:line="360" w:lineRule="auto"/>
        <w:ind w:left="357" w:hanging="357"/>
        <w:jc w:val="both"/>
        <w:rPr>
          <w:rFonts w:ascii="Times New Roman" w:hAnsi="Times New Roman" w:cs="Times New Roman"/>
          <w:sz w:val="24"/>
          <w:lang w:val="sq-AL"/>
        </w:rPr>
      </w:pPr>
      <w:r w:rsidRPr="00D72DB6">
        <w:rPr>
          <w:rFonts w:ascii="Times New Roman" w:hAnsi="Times New Roman" w:cs="Times New Roman"/>
          <w:sz w:val="24"/>
          <w:lang w:val="sq-AL"/>
        </w:rPr>
        <w:t>Rishikimi i ligjit është i nevojshëm;</w:t>
      </w:r>
    </w:p>
    <w:p w:rsidR="00D72DB6" w:rsidRPr="00D72DB6" w:rsidRDefault="00D72DB6" w:rsidP="00D72DB6">
      <w:pPr>
        <w:pStyle w:val="Default"/>
        <w:spacing w:line="360" w:lineRule="auto"/>
        <w:jc w:val="both"/>
        <w:rPr>
          <w:lang w:val="sq-AL"/>
        </w:rPr>
      </w:pPr>
    </w:p>
    <w:p w:rsidR="00D72DB6" w:rsidRPr="00D72DB6" w:rsidRDefault="00D72DB6" w:rsidP="00D72DB6">
      <w:pPr>
        <w:shd w:val="clear" w:color="auto" w:fill="FFFFFF" w:themeFill="background1"/>
        <w:autoSpaceDE w:val="0"/>
        <w:autoSpaceDN w:val="0"/>
        <w:adjustRightInd w:val="0"/>
        <w:spacing w:after="180" w:line="360" w:lineRule="auto"/>
        <w:ind w:right="-64"/>
        <w:jc w:val="both"/>
        <w:rPr>
          <w:rFonts w:ascii="Times New Roman" w:hAnsi="Times New Roman"/>
          <w:sz w:val="24"/>
          <w:szCs w:val="24"/>
        </w:rPr>
      </w:pPr>
      <w:r w:rsidRPr="00D72DB6">
        <w:rPr>
          <w:rFonts w:ascii="Times New Roman" w:hAnsi="Times New Roman"/>
          <w:sz w:val="24"/>
          <w:szCs w:val="24"/>
        </w:rPr>
        <w:t xml:space="preserve">Për sa i përket fushës së mbrojtjes së të dhënave personale, nga ankesat e paraqitura, hetimet administrative të ushtruara dhe gjithë procesi i monitorimit dhe mbikëqyrjes së ligjit </w:t>
      </w:r>
      <w:r w:rsidRPr="00D72DB6">
        <w:rPr>
          <w:rFonts w:ascii="Times New Roman" w:hAnsi="Times New Roman"/>
          <w:sz w:val="24"/>
          <w:szCs w:val="24"/>
        </w:rPr>
        <w:lastRenderedPageBreak/>
        <w:t>9887/2008 “Për mbrojtjen e të dhënave personale”  i ndryshuar, janë konstatuar problematika lidhur me:</w:t>
      </w:r>
    </w:p>
    <w:p w:rsidR="00D72DB6" w:rsidRPr="00D72DB6" w:rsidRDefault="00D72DB6" w:rsidP="00D72DB6">
      <w:pPr>
        <w:pStyle w:val="ListParagraph"/>
        <w:numPr>
          <w:ilvl w:val="0"/>
          <w:numId w:val="21"/>
        </w:numPr>
        <w:spacing w:after="60" w:line="360" w:lineRule="auto"/>
        <w:ind w:left="357" w:hanging="357"/>
        <w:jc w:val="both"/>
        <w:rPr>
          <w:rFonts w:ascii="Times New Roman" w:hAnsi="Times New Roman"/>
          <w:sz w:val="24"/>
          <w:szCs w:val="24"/>
        </w:rPr>
      </w:pPr>
      <w:r w:rsidRPr="00D72DB6">
        <w:rPr>
          <w:rFonts w:ascii="Times New Roman" w:hAnsi="Times New Roman"/>
          <w:sz w:val="24"/>
          <w:szCs w:val="24"/>
        </w:rPr>
        <w:t>Garantimin e të drejtave të subjekteve të të dhënave personale me fokus të veçantë e drejta e aksesit në të dhënat personale;</w:t>
      </w:r>
    </w:p>
    <w:p w:rsidR="00D72DB6" w:rsidRPr="00D72DB6" w:rsidRDefault="00D72DB6" w:rsidP="00D72DB6">
      <w:pPr>
        <w:pStyle w:val="ListParagraph"/>
        <w:numPr>
          <w:ilvl w:val="0"/>
          <w:numId w:val="21"/>
        </w:numPr>
        <w:spacing w:after="60" w:line="360" w:lineRule="auto"/>
        <w:ind w:left="357" w:hanging="357"/>
        <w:jc w:val="both"/>
        <w:rPr>
          <w:rFonts w:ascii="Times New Roman" w:hAnsi="Times New Roman"/>
          <w:sz w:val="24"/>
          <w:szCs w:val="24"/>
        </w:rPr>
      </w:pPr>
      <w:r w:rsidRPr="00D72DB6">
        <w:rPr>
          <w:rFonts w:ascii="Times New Roman" w:hAnsi="Times New Roman"/>
          <w:sz w:val="24"/>
          <w:szCs w:val="24"/>
        </w:rPr>
        <w:t>Kontrolluesit publikë kanë vështirësi në dallimin midis të drejtës për akses dhe të drejtës për informim gjatë trajtimit të ankesave të qytetarëve;</w:t>
      </w:r>
    </w:p>
    <w:p w:rsidR="00D72DB6" w:rsidRPr="00D72DB6" w:rsidRDefault="00D72DB6" w:rsidP="00D72DB6">
      <w:pPr>
        <w:pStyle w:val="ListParagraph"/>
        <w:numPr>
          <w:ilvl w:val="0"/>
          <w:numId w:val="21"/>
        </w:numPr>
        <w:spacing w:after="60" w:line="360" w:lineRule="auto"/>
        <w:ind w:left="357" w:hanging="357"/>
        <w:jc w:val="both"/>
        <w:rPr>
          <w:rFonts w:ascii="Times New Roman" w:hAnsi="Times New Roman"/>
          <w:sz w:val="24"/>
          <w:szCs w:val="24"/>
        </w:rPr>
      </w:pPr>
      <w:r w:rsidRPr="00D72DB6">
        <w:rPr>
          <w:rFonts w:ascii="Times New Roman" w:hAnsi="Times New Roman"/>
          <w:sz w:val="24"/>
          <w:szCs w:val="24"/>
        </w:rPr>
        <w:t>Garantimin e detyrimit për informim nga kontrolluesi lidhur me mënyrën e përpunimit;</w:t>
      </w:r>
    </w:p>
    <w:p w:rsidR="00D72DB6" w:rsidRPr="00D72DB6" w:rsidRDefault="00D72DB6" w:rsidP="00D72DB6">
      <w:pPr>
        <w:pStyle w:val="ListParagraph"/>
        <w:numPr>
          <w:ilvl w:val="0"/>
          <w:numId w:val="21"/>
        </w:numPr>
        <w:spacing w:after="60" w:line="360" w:lineRule="auto"/>
        <w:ind w:left="357" w:hanging="357"/>
        <w:jc w:val="both"/>
        <w:rPr>
          <w:rFonts w:ascii="Times New Roman" w:hAnsi="Times New Roman"/>
          <w:sz w:val="24"/>
          <w:szCs w:val="24"/>
        </w:rPr>
      </w:pPr>
      <w:r w:rsidRPr="00D72DB6">
        <w:rPr>
          <w:rFonts w:ascii="Times New Roman" w:hAnsi="Times New Roman"/>
          <w:sz w:val="24"/>
          <w:szCs w:val="24"/>
        </w:rPr>
        <w:t xml:space="preserve">Garantimin e detyrimit për korrigjim dhe fshirje të të dhënave nga kontrolluesi; </w:t>
      </w:r>
    </w:p>
    <w:p w:rsidR="00D72DB6" w:rsidRPr="00D72DB6" w:rsidRDefault="00D72DB6" w:rsidP="00D72DB6">
      <w:pPr>
        <w:pStyle w:val="ListParagraph"/>
        <w:numPr>
          <w:ilvl w:val="0"/>
          <w:numId w:val="21"/>
        </w:numPr>
        <w:spacing w:after="60" w:line="360" w:lineRule="auto"/>
        <w:ind w:left="357" w:hanging="357"/>
        <w:jc w:val="both"/>
        <w:rPr>
          <w:rFonts w:ascii="Times New Roman" w:hAnsi="Times New Roman"/>
          <w:sz w:val="24"/>
          <w:szCs w:val="24"/>
        </w:rPr>
      </w:pPr>
      <w:r w:rsidRPr="00D72DB6">
        <w:rPr>
          <w:rFonts w:ascii="Times New Roman" w:hAnsi="Times New Roman"/>
          <w:sz w:val="24"/>
          <w:szCs w:val="24"/>
        </w:rPr>
        <w:t xml:space="preserve">Shërbimet online dhe përpunimin e të dhënave personale në rrjet nuk respektojnë gjithmonë rregullat e përpunimit të ligjshëm të të dhënave; </w:t>
      </w:r>
    </w:p>
    <w:p w:rsidR="00D72DB6" w:rsidRPr="00D72DB6" w:rsidRDefault="00D72DB6" w:rsidP="00D72DB6">
      <w:pPr>
        <w:pStyle w:val="Default"/>
        <w:numPr>
          <w:ilvl w:val="0"/>
          <w:numId w:val="21"/>
        </w:numPr>
        <w:spacing w:after="60" w:line="360" w:lineRule="auto"/>
        <w:ind w:left="357" w:hanging="357"/>
        <w:jc w:val="both"/>
        <w:rPr>
          <w:color w:val="auto"/>
          <w:lang w:val="sq-AL"/>
        </w:rPr>
      </w:pPr>
      <w:r w:rsidRPr="00D72DB6">
        <w:rPr>
          <w:color w:val="auto"/>
          <w:lang w:val="sq-AL"/>
        </w:rPr>
        <w:t>Garantimin e sigurisë dhe konfidencialitetit nga kontrolluesit.</w:t>
      </w:r>
    </w:p>
    <w:p w:rsidR="00D72DB6" w:rsidRPr="00D72DB6" w:rsidRDefault="00D72DB6" w:rsidP="00D72DB6">
      <w:pPr>
        <w:pStyle w:val="Default"/>
        <w:spacing w:line="360" w:lineRule="auto"/>
        <w:ind w:left="360"/>
        <w:jc w:val="both"/>
        <w:rPr>
          <w:color w:val="auto"/>
          <w:lang w:val="sq-AL"/>
        </w:rPr>
      </w:pPr>
    </w:p>
    <w:p w:rsidR="00D72DB6" w:rsidRPr="00D72DB6" w:rsidRDefault="00D72DB6" w:rsidP="00D72DB6">
      <w:pPr>
        <w:pStyle w:val="Default"/>
        <w:spacing w:line="360" w:lineRule="auto"/>
        <w:jc w:val="both"/>
        <w:rPr>
          <w:lang w:val="sq-AL"/>
        </w:rPr>
      </w:pPr>
      <w:r w:rsidRPr="00D72DB6">
        <w:rPr>
          <w:lang w:val="sq-AL"/>
        </w:rPr>
        <w:t xml:space="preserve">Ndërsa lidhur me zbatimin e ligjit nr. 146/2014 “Për njoftimin dhe konsultimin publik”, vazhdon të jetë e ulët ndjeshmëria dhe angazhimi qytetar shprehur nga numri i pakët i ankesave duke pasur parasysh numrin e akteve ligjore dhe nënligjore që miratohen çdo vit. </w:t>
      </w:r>
      <w:r w:rsidRPr="00D72DB6">
        <w:rPr>
          <w:color w:val="auto"/>
          <w:lang w:val="sq-AL"/>
        </w:rPr>
        <w:t>Komisioneri vlerëson r</w:t>
      </w:r>
      <w:r w:rsidRPr="00D72DB6">
        <w:rPr>
          <w:lang w:val="sq-AL"/>
        </w:rPr>
        <w:t>ë</w:t>
      </w:r>
      <w:r w:rsidRPr="00D72DB6">
        <w:rPr>
          <w:color w:val="auto"/>
          <w:lang w:val="sq-AL"/>
        </w:rPr>
        <w:t>nd</w:t>
      </w:r>
      <w:r w:rsidRPr="00D72DB6">
        <w:rPr>
          <w:lang w:val="sq-AL"/>
        </w:rPr>
        <w:t>ë</w:t>
      </w:r>
      <w:r w:rsidRPr="00D72DB6">
        <w:rPr>
          <w:color w:val="auto"/>
          <w:lang w:val="sq-AL"/>
        </w:rPr>
        <w:t>sin</w:t>
      </w:r>
      <w:r w:rsidRPr="00D72DB6">
        <w:rPr>
          <w:lang w:val="sq-AL"/>
        </w:rPr>
        <w:t>ë</w:t>
      </w:r>
      <w:r w:rsidRPr="00D72DB6">
        <w:rPr>
          <w:color w:val="auto"/>
          <w:lang w:val="sq-AL"/>
        </w:rPr>
        <w:t xml:space="preserve"> e promovimit të transparencës dhe zbatimit t</w:t>
      </w:r>
      <w:r w:rsidRPr="00D72DB6">
        <w:rPr>
          <w:lang w:val="sq-AL"/>
        </w:rPr>
        <w:t>ë</w:t>
      </w:r>
      <w:r w:rsidRPr="00D72DB6">
        <w:rPr>
          <w:color w:val="auto"/>
          <w:lang w:val="sq-AL"/>
        </w:rPr>
        <w:t xml:space="preserve"> kuadrit                ligjor duke zbatuar </w:t>
      </w:r>
      <w:r w:rsidRPr="00D72DB6">
        <w:rPr>
          <w:lang w:val="sq-AL"/>
        </w:rPr>
        <w:t>të gjitha hapat</w:t>
      </w:r>
      <w:r w:rsidRPr="00D72DB6">
        <w:rPr>
          <w:b/>
          <w:i/>
          <w:lang w:val="sq-AL"/>
        </w:rPr>
        <w:t xml:space="preserve"> </w:t>
      </w:r>
      <w:r w:rsidRPr="00D72DB6">
        <w:rPr>
          <w:lang w:val="sq-AL"/>
        </w:rPr>
        <w:t xml:space="preserve">që ligji nr. 146/2014 “Për Njoftimin dhe Konsultimin Publik” parashikon. </w:t>
      </w:r>
    </w:p>
    <w:p w:rsidR="00D72DB6" w:rsidRPr="00D72DB6" w:rsidRDefault="00D72DB6" w:rsidP="00D72DB6">
      <w:pPr>
        <w:pStyle w:val="Default"/>
        <w:spacing w:line="360" w:lineRule="auto"/>
        <w:jc w:val="both"/>
        <w:rPr>
          <w:lang w:val="sq-AL"/>
        </w:rPr>
      </w:pPr>
    </w:p>
    <w:p w:rsidR="00D72DB6" w:rsidRPr="00D72DB6" w:rsidRDefault="00D72DB6" w:rsidP="00D72DB6">
      <w:pPr>
        <w:pStyle w:val="Heading1"/>
        <w:rPr>
          <w:rFonts w:ascii="Times New Roman" w:hAnsi="Times New Roman" w:cs="Times New Roman"/>
          <w:b/>
          <w:sz w:val="24"/>
          <w:szCs w:val="24"/>
        </w:rPr>
      </w:pPr>
      <w:bookmarkStart w:id="36" w:name="_Toc507424907"/>
      <w:r w:rsidRPr="00D72DB6">
        <w:rPr>
          <w:rFonts w:ascii="Times New Roman" w:hAnsi="Times New Roman" w:cs="Times New Roman"/>
          <w:b/>
          <w:sz w:val="24"/>
          <w:szCs w:val="24"/>
        </w:rPr>
        <w:t>10. PRIORITETET PËR VITIN 2018</w:t>
      </w:r>
      <w:bookmarkEnd w:id="36"/>
    </w:p>
    <w:p w:rsidR="00D72DB6" w:rsidRPr="00D72DB6" w:rsidRDefault="00D72DB6" w:rsidP="00D72DB6">
      <w:pPr>
        <w:autoSpaceDE w:val="0"/>
        <w:autoSpaceDN w:val="0"/>
        <w:adjustRightInd w:val="0"/>
        <w:spacing w:after="0" w:line="360" w:lineRule="auto"/>
        <w:jc w:val="both"/>
        <w:rPr>
          <w:rFonts w:ascii="Times New Roman" w:hAnsi="Times New Roman"/>
          <w:sz w:val="24"/>
          <w:szCs w:val="24"/>
        </w:rPr>
      </w:pPr>
    </w:p>
    <w:p w:rsidR="00D72DB6" w:rsidRPr="00D72DB6" w:rsidRDefault="00D72DB6" w:rsidP="00D72DB6">
      <w:pPr>
        <w:spacing w:after="0" w:line="360" w:lineRule="auto"/>
        <w:rPr>
          <w:rFonts w:ascii="Times New Roman" w:hAnsi="Times New Roman"/>
          <w:b/>
          <w:sz w:val="24"/>
          <w:szCs w:val="24"/>
        </w:rPr>
      </w:pPr>
      <w:r w:rsidRPr="00D72DB6">
        <w:rPr>
          <w:rFonts w:ascii="Times New Roman" w:hAnsi="Times New Roman"/>
          <w:b/>
          <w:sz w:val="24"/>
          <w:szCs w:val="24"/>
        </w:rPr>
        <w:t xml:space="preserve">Prioritetet për vitin 2018 mbeten: </w:t>
      </w:r>
      <w:bookmarkStart w:id="37" w:name="_Toc474707702"/>
    </w:p>
    <w:p w:rsidR="00D72DB6" w:rsidRPr="00D72DB6" w:rsidRDefault="00D72DB6" w:rsidP="00D72DB6">
      <w:pPr>
        <w:spacing w:after="0" w:line="360" w:lineRule="auto"/>
        <w:rPr>
          <w:rFonts w:ascii="Times New Roman" w:hAnsi="Times New Roman"/>
          <w:b/>
          <w:sz w:val="24"/>
          <w:szCs w:val="24"/>
        </w:rPr>
      </w:pPr>
    </w:p>
    <w:tbl>
      <w:tblPr>
        <w:tblStyle w:val="GridTable6Colorful-Accent11"/>
        <w:tblW w:w="0" w:type="auto"/>
        <w:tblInd w:w="0" w:type="dxa"/>
        <w:tblLook w:val="04A0"/>
      </w:tblPr>
      <w:tblGrid>
        <w:gridCol w:w="8540"/>
      </w:tblGrid>
      <w:tr w:rsidR="00D72DB6" w:rsidRPr="00D72DB6" w:rsidTr="00D72DB6">
        <w:trPr>
          <w:cnfStyle w:val="100000000000"/>
          <w:trHeight w:val="737"/>
        </w:trPr>
        <w:tc>
          <w:tcPr>
            <w:cnfStyle w:val="001000000000"/>
            <w:tcW w:w="8540" w:type="dxa"/>
            <w:tcBorders>
              <w:top w:val="single" w:sz="4" w:space="0" w:color="9CC2E5" w:themeColor="accent1" w:themeTint="99"/>
              <w:left w:val="single" w:sz="4" w:space="0" w:color="9CC2E5" w:themeColor="accent1" w:themeTint="99"/>
              <w:right w:val="single" w:sz="4" w:space="0" w:color="9CC2E5" w:themeColor="accent1" w:themeTint="99"/>
            </w:tcBorders>
            <w:vAlign w:val="center"/>
            <w:hideMark/>
          </w:tcPr>
          <w:bookmarkEnd w:id="37"/>
          <w:p w:rsidR="00D72DB6" w:rsidRPr="00D72DB6" w:rsidRDefault="00D72DB6">
            <w:pPr>
              <w:pStyle w:val="ListParagraph"/>
              <w:numPr>
                <w:ilvl w:val="0"/>
                <w:numId w:val="22"/>
              </w:numPr>
              <w:spacing w:after="0"/>
              <w:ind w:left="714" w:hanging="357"/>
              <w:rPr>
                <w:rFonts w:ascii="Times New Roman" w:hAnsi="Times New Roman"/>
                <w:b w:val="0"/>
                <w:sz w:val="24"/>
                <w:szCs w:val="24"/>
              </w:rPr>
            </w:pPr>
            <w:r w:rsidRPr="00D72DB6">
              <w:rPr>
                <w:rFonts w:ascii="Times New Roman" w:hAnsi="Times New Roman"/>
                <w:b w:val="0"/>
                <w:sz w:val="24"/>
                <w:szCs w:val="24"/>
              </w:rPr>
              <w:t>Miratimi dhe zbatimi i Strategjisë Institucionale 2018-2020;</w:t>
            </w:r>
          </w:p>
        </w:tc>
      </w:tr>
      <w:tr w:rsidR="00D72DB6" w:rsidRPr="00D72DB6" w:rsidTr="00D72DB6">
        <w:trPr>
          <w:cnfStyle w:val="000000100000"/>
          <w:trHeight w:val="737"/>
        </w:trPr>
        <w:tc>
          <w:tcPr>
            <w:cnfStyle w:val="001000000000"/>
            <w:tcW w:w="854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D72DB6" w:rsidRPr="00D72DB6" w:rsidRDefault="00D72DB6">
            <w:pPr>
              <w:pStyle w:val="ListParagraph"/>
              <w:numPr>
                <w:ilvl w:val="0"/>
                <w:numId w:val="22"/>
              </w:numPr>
              <w:spacing w:after="0"/>
              <w:ind w:left="714" w:hanging="357"/>
              <w:rPr>
                <w:rFonts w:ascii="Times New Roman" w:hAnsi="Times New Roman"/>
                <w:b w:val="0"/>
                <w:sz w:val="24"/>
                <w:szCs w:val="24"/>
              </w:rPr>
            </w:pPr>
            <w:r w:rsidRPr="00D72DB6">
              <w:rPr>
                <w:rFonts w:ascii="Times New Roman" w:hAnsi="Times New Roman"/>
                <w:b w:val="0"/>
                <w:sz w:val="24"/>
                <w:szCs w:val="24"/>
              </w:rPr>
              <w:t>Përmirësim i ligjit nr. 119/2014 “Për të drejtën e informimit”;</w:t>
            </w:r>
          </w:p>
        </w:tc>
      </w:tr>
      <w:tr w:rsidR="00D72DB6" w:rsidRPr="00D72DB6" w:rsidTr="00D72DB6">
        <w:trPr>
          <w:trHeight w:val="737"/>
        </w:trPr>
        <w:tc>
          <w:tcPr>
            <w:cnfStyle w:val="001000000000"/>
            <w:tcW w:w="854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D72DB6" w:rsidRPr="00D72DB6" w:rsidRDefault="00D72DB6">
            <w:pPr>
              <w:pStyle w:val="ListParagraph"/>
              <w:numPr>
                <w:ilvl w:val="0"/>
                <w:numId w:val="22"/>
              </w:numPr>
              <w:spacing w:after="0"/>
              <w:ind w:left="714" w:hanging="357"/>
              <w:jc w:val="both"/>
              <w:rPr>
                <w:rFonts w:ascii="Times New Roman" w:hAnsi="Times New Roman"/>
                <w:b w:val="0"/>
                <w:sz w:val="24"/>
                <w:szCs w:val="24"/>
              </w:rPr>
            </w:pPr>
            <w:r w:rsidRPr="00D72DB6">
              <w:rPr>
                <w:rFonts w:ascii="Times New Roman" w:hAnsi="Times New Roman"/>
                <w:b w:val="0"/>
                <w:sz w:val="24"/>
                <w:szCs w:val="24"/>
              </w:rPr>
              <w:t>Hartimi dhe miratimi i programit model të transparencës për organet e vetëqeverisjes vendore;</w:t>
            </w:r>
          </w:p>
        </w:tc>
      </w:tr>
      <w:tr w:rsidR="00D72DB6" w:rsidRPr="00D72DB6" w:rsidTr="00D72DB6">
        <w:trPr>
          <w:cnfStyle w:val="000000100000"/>
          <w:trHeight w:val="737"/>
        </w:trPr>
        <w:tc>
          <w:tcPr>
            <w:cnfStyle w:val="001000000000"/>
            <w:tcW w:w="854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D72DB6" w:rsidRPr="00D72DB6" w:rsidRDefault="00D72DB6">
            <w:pPr>
              <w:pStyle w:val="ListParagraph"/>
              <w:numPr>
                <w:ilvl w:val="0"/>
                <w:numId w:val="22"/>
              </w:numPr>
              <w:spacing w:after="0"/>
              <w:ind w:left="714" w:hanging="357"/>
              <w:jc w:val="both"/>
              <w:rPr>
                <w:rFonts w:ascii="Times New Roman" w:hAnsi="Times New Roman"/>
                <w:b w:val="0"/>
                <w:sz w:val="24"/>
                <w:szCs w:val="24"/>
              </w:rPr>
            </w:pPr>
            <w:r w:rsidRPr="00D72DB6">
              <w:rPr>
                <w:rFonts w:ascii="Times New Roman" w:hAnsi="Times New Roman"/>
                <w:b w:val="0"/>
                <w:sz w:val="24"/>
                <w:szCs w:val="24"/>
              </w:rPr>
              <w:t xml:space="preserve">Krijimi i regjistrit kombëtar të kërkesave dhe përgjigjeve të autoriteteve publike, portali </w:t>
            </w:r>
            <w:r w:rsidRPr="00D72DB6">
              <w:rPr>
                <w:rFonts w:ascii="Times New Roman" w:hAnsi="Times New Roman"/>
                <w:b w:val="0"/>
                <w:i/>
                <w:sz w:val="24"/>
                <w:szCs w:val="24"/>
              </w:rPr>
              <w:t>pyetshtetin.al;</w:t>
            </w:r>
          </w:p>
        </w:tc>
      </w:tr>
      <w:tr w:rsidR="00D72DB6" w:rsidRPr="00D72DB6" w:rsidTr="00D72DB6">
        <w:trPr>
          <w:trHeight w:val="737"/>
        </w:trPr>
        <w:tc>
          <w:tcPr>
            <w:cnfStyle w:val="001000000000"/>
            <w:tcW w:w="854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D72DB6" w:rsidRPr="00D72DB6" w:rsidRDefault="00D72DB6">
            <w:pPr>
              <w:pStyle w:val="ListParagraph"/>
              <w:numPr>
                <w:ilvl w:val="0"/>
                <w:numId w:val="23"/>
              </w:numPr>
              <w:spacing w:after="0"/>
              <w:ind w:left="714" w:hanging="357"/>
              <w:rPr>
                <w:rFonts w:ascii="Times New Roman" w:hAnsi="Times New Roman"/>
                <w:b w:val="0"/>
                <w:sz w:val="24"/>
                <w:szCs w:val="24"/>
              </w:rPr>
            </w:pPr>
            <w:r w:rsidRPr="00D72DB6">
              <w:rPr>
                <w:rFonts w:ascii="Times New Roman" w:hAnsi="Times New Roman"/>
                <w:b w:val="0"/>
                <w:sz w:val="24"/>
                <w:szCs w:val="24"/>
              </w:rPr>
              <w:t>Përafrimi i legjislacionit për mbrojtjen e të dhënave personale me Rregulloren e BE 679/2016 dhe Direktivën 680/2016;</w:t>
            </w:r>
          </w:p>
        </w:tc>
      </w:tr>
      <w:tr w:rsidR="00D72DB6" w:rsidRPr="00D72DB6" w:rsidTr="00D72DB6">
        <w:trPr>
          <w:cnfStyle w:val="000000100000"/>
          <w:trHeight w:val="737"/>
        </w:trPr>
        <w:tc>
          <w:tcPr>
            <w:cnfStyle w:val="001000000000"/>
            <w:tcW w:w="854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D72DB6" w:rsidRPr="00D72DB6" w:rsidRDefault="00D72DB6">
            <w:pPr>
              <w:pStyle w:val="ListParagraph"/>
              <w:numPr>
                <w:ilvl w:val="0"/>
                <w:numId w:val="22"/>
              </w:numPr>
              <w:spacing w:after="0"/>
              <w:ind w:left="714" w:hanging="357"/>
              <w:jc w:val="both"/>
              <w:rPr>
                <w:rFonts w:ascii="Times New Roman" w:hAnsi="Times New Roman"/>
                <w:b w:val="0"/>
                <w:sz w:val="24"/>
                <w:szCs w:val="24"/>
              </w:rPr>
            </w:pPr>
            <w:bookmarkStart w:id="38" w:name="_Toc474619239"/>
            <w:bookmarkStart w:id="39" w:name="_Toc474707628"/>
            <w:bookmarkStart w:id="40" w:name="_Toc474707703"/>
            <w:r w:rsidRPr="00D72DB6">
              <w:rPr>
                <w:rFonts w:ascii="Times New Roman" w:hAnsi="Times New Roman"/>
                <w:b w:val="0"/>
                <w:sz w:val="24"/>
                <w:szCs w:val="24"/>
              </w:rPr>
              <w:lastRenderedPageBreak/>
              <w:t xml:space="preserve">Vazhdimi i monitorimit dhe mbikëqyrjes së zbatimit të Ligjit nr. 9887/2008 “Për mbrojtjen e të dhënave personale” </w:t>
            </w:r>
            <w:bookmarkEnd w:id="38"/>
            <w:bookmarkEnd w:id="39"/>
            <w:bookmarkEnd w:id="40"/>
            <w:r w:rsidRPr="00D72DB6">
              <w:rPr>
                <w:rFonts w:ascii="Times New Roman" w:hAnsi="Times New Roman"/>
                <w:b w:val="0"/>
                <w:sz w:val="24"/>
                <w:szCs w:val="24"/>
              </w:rPr>
              <w:t>mbi plan tematik duke synuar unifikimin e praktikave në sektorë të ndryshëm;</w:t>
            </w:r>
          </w:p>
        </w:tc>
      </w:tr>
      <w:tr w:rsidR="00D72DB6" w:rsidRPr="00D72DB6" w:rsidTr="00D72DB6">
        <w:trPr>
          <w:trHeight w:val="737"/>
        </w:trPr>
        <w:tc>
          <w:tcPr>
            <w:cnfStyle w:val="001000000000"/>
            <w:tcW w:w="854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D72DB6" w:rsidRPr="00D72DB6" w:rsidRDefault="00D72DB6">
            <w:pPr>
              <w:pStyle w:val="ListParagraph"/>
              <w:numPr>
                <w:ilvl w:val="0"/>
                <w:numId w:val="22"/>
              </w:numPr>
              <w:spacing w:after="0"/>
              <w:ind w:left="714" w:hanging="357"/>
              <w:rPr>
                <w:rFonts w:ascii="Times New Roman" w:hAnsi="Times New Roman"/>
                <w:b w:val="0"/>
                <w:sz w:val="24"/>
                <w:szCs w:val="24"/>
              </w:rPr>
            </w:pPr>
            <w:r w:rsidRPr="00D72DB6">
              <w:rPr>
                <w:rFonts w:ascii="Times New Roman" w:hAnsi="Times New Roman"/>
                <w:b w:val="0"/>
                <w:sz w:val="24"/>
                <w:szCs w:val="24"/>
              </w:rPr>
              <w:t>Trajtimi i praktikave për transferimin ndërkombëtar të të dhënave personale sipas GDPR;</w:t>
            </w:r>
          </w:p>
        </w:tc>
      </w:tr>
      <w:tr w:rsidR="00D72DB6" w:rsidRPr="00D72DB6" w:rsidTr="00D72DB6">
        <w:trPr>
          <w:cnfStyle w:val="000000100000"/>
          <w:trHeight w:val="737"/>
        </w:trPr>
        <w:tc>
          <w:tcPr>
            <w:cnfStyle w:val="001000000000"/>
            <w:tcW w:w="854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D72DB6" w:rsidRPr="00D72DB6" w:rsidRDefault="00D72DB6">
            <w:pPr>
              <w:pStyle w:val="ListParagraph"/>
              <w:numPr>
                <w:ilvl w:val="0"/>
                <w:numId w:val="22"/>
              </w:numPr>
              <w:spacing w:after="0"/>
              <w:ind w:left="714" w:hanging="357"/>
              <w:rPr>
                <w:rFonts w:ascii="Times New Roman" w:hAnsi="Times New Roman"/>
                <w:b w:val="0"/>
                <w:sz w:val="24"/>
                <w:szCs w:val="24"/>
              </w:rPr>
            </w:pPr>
            <w:r w:rsidRPr="00D72DB6">
              <w:rPr>
                <w:rFonts w:ascii="Times New Roman" w:hAnsi="Times New Roman"/>
                <w:b w:val="0"/>
                <w:sz w:val="24"/>
                <w:szCs w:val="24"/>
              </w:rPr>
              <w:t>Verifikim i zbatimit të Rekomandimeve/ Urdhrave të dhëna nga Zyra e Komisionerit;</w:t>
            </w:r>
          </w:p>
        </w:tc>
      </w:tr>
      <w:tr w:rsidR="00D72DB6" w:rsidRPr="00D72DB6" w:rsidTr="00D72DB6">
        <w:trPr>
          <w:trHeight w:val="737"/>
        </w:trPr>
        <w:tc>
          <w:tcPr>
            <w:cnfStyle w:val="001000000000"/>
            <w:tcW w:w="854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D72DB6" w:rsidRPr="00D72DB6" w:rsidRDefault="00D72DB6">
            <w:pPr>
              <w:pStyle w:val="ListParagraph"/>
              <w:numPr>
                <w:ilvl w:val="0"/>
                <w:numId w:val="22"/>
              </w:numPr>
              <w:spacing w:after="0"/>
              <w:ind w:left="714" w:hanging="357"/>
              <w:jc w:val="both"/>
              <w:rPr>
                <w:rFonts w:ascii="Times New Roman" w:hAnsi="Times New Roman"/>
                <w:b w:val="0"/>
                <w:sz w:val="24"/>
                <w:szCs w:val="24"/>
              </w:rPr>
            </w:pPr>
            <w:r w:rsidRPr="00D72DB6">
              <w:rPr>
                <w:rFonts w:ascii="Times New Roman" w:hAnsi="Times New Roman"/>
                <w:b w:val="0"/>
                <w:sz w:val="24"/>
                <w:szCs w:val="24"/>
              </w:rPr>
              <w:t>Forcimi i kapaciteteve nëpërmjet trajnimeve dhe rritja e aktiviteteve ndërgjegjësuese me qytetarët, autoritetet publike apo kontrolluesit publikë e privatë;</w:t>
            </w:r>
          </w:p>
        </w:tc>
      </w:tr>
      <w:tr w:rsidR="00D72DB6" w:rsidRPr="00D72DB6" w:rsidTr="00D72DB6">
        <w:trPr>
          <w:cnfStyle w:val="000000100000"/>
          <w:trHeight w:val="737"/>
        </w:trPr>
        <w:tc>
          <w:tcPr>
            <w:cnfStyle w:val="001000000000"/>
            <w:tcW w:w="854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D72DB6" w:rsidRPr="00D72DB6" w:rsidRDefault="00D72DB6">
            <w:pPr>
              <w:pStyle w:val="ListParagraph"/>
              <w:numPr>
                <w:ilvl w:val="0"/>
                <w:numId w:val="22"/>
              </w:numPr>
              <w:spacing w:after="0"/>
              <w:ind w:left="714" w:hanging="357"/>
              <w:rPr>
                <w:rFonts w:ascii="Times New Roman" w:hAnsi="Times New Roman"/>
                <w:b w:val="0"/>
                <w:sz w:val="24"/>
                <w:szCs w:val="24"/>
              </w:rPr>
            </w:pPr>
            <w:r w:rsidRPr="00D72DB6">
              <w:rPr>
                <w:rFonts w:ascii="Times New Roman" w:hAnsi="Times New Roman"/>
                <w:b w:val="0"/>
                <w:sz w:val="24"/>
                <w:szCs w:val="24"/>
              </w:rPr>
              <w:t>Organizimi i Konferencës Evropiane, 3-4 Maj 2018.</w:t>
            </w:r>
          </w:p>
        </w:tc>
      </w:tr>
    </w:tbl>
    <w:p w:rsidR="00D72DB6" w:rsidRPr="00D72DB6" w:rsidRDefault="00D72DB6" w:rsidP="00D72DB6">
      <w:pPr>
        <w:spacing w:line="360" w:lineRule="auto"/>
        <w:jc w:val="both"/>
        <w:rPr>
          <w:rFonts w:ascii="Times New Roman" w:hAnsi="Times New Roman"/>
          <w:b/>
          <w:color w:val="2E74B5" w:themeColor="accent1" w:themeShade="BF"/>
          <w:sz w:val="24"/>
          <w:szCs w:val="24"/>
        </w:rPr>
      </w:pPr>
    </w:p>
    <w:p w:rsidR="00D72DB6" w:rsidRPr="00D72DB6" w:rsidRDefault="00D72DB6" w:rsidP="00D72DB6">
      <w:pPr>
        <w:spacing w:after="0"/>
        <w:rPr>
          <w:rFonts w:ascii="Times New Roman" w:hAnsi="Times New Roman"/>
          <w:sz w:val="24"/>
          <w:szCs w:val="24"/>
        </w:rPr>
        <w:sectPr w:rsidR="00D72DB6" w:rsidRPr="00D72DB6">
          <w:pgSz w:w="11906" w:h="16838"/>
          <w:pgMar w:top="1134" w:right="1440" w:bottom="1260" w:left="1440" w:header="720" w:footer="478" w:gutter="0"/>
          <w:cols w:space="720"/>
        </w:sectPr>
      </w:pPr>
    </w:p>
    <w:p w:rsidR="00D72DB6" w:rsidRPr="00D72DB6" w:rsidRDefault="00D72DB6" w:rsidP="00D72DB6">
      <w:pPr>
        <w:pStyle w:val="Heading1"/>
        <w:spacing w:after="240"/>
        <w:rPr>
          <w:rFonts w:ascii="Times New Roman" w:hAnsi="Times New Roman" w:cs="Times New Roman"/>
          <w:b/>
          <w:sz w:val="24"/>
          <w:szCs w:val="24"/>
        </w:rPr>
      </w:pPr>
      <w:bookmarkStart w:id="41" w:name="_Toc507424908"/>
      <w:bookmarkStart w:id="42" w:name="_Toc506984746"/>
      <w:r w:rsidRPr="00D72DB6">
        <w:rPr>
          <w:rFonts w:ascii="Times New Roman" w:hAnsi="Times New Roman" w:cs="Times New Roman"/>
          <w:b/>
          <w:sz w:val="24"/>
          <w:szCs w:val="24"/>
        </w:rPr>
        <w:lastRenderedPageBreak/>
        <w:t>ANEKSI 1</w:t>
      </w:r>
      <w:bookmarkEnd w:id="41"/>
      <w:bookmarkEnd w:id="42"/>
      <w:r w:rsidRPr="00D72DB6">
        <w:rPr>
          <w:rFonts w:ascii="Times New Roman" w:hAnsi="Times New Roman" w:cs="Times New Roman"/>
          <w:b/>
          <w:sz w:val="24"/>
          <w:szCs w:val="24"/>
        </w:rPr>
        <w:t xml:space="preserve"> </w:t>
      </w:r>
    </w:p>
    <w:p w:rsidR="00D72DB6" w:rsidRPr="00D72DB6" w:rsidRDefault="00D72DB6" w:rsidP="00D72DB6">
      <w:pPr>
        <w:spacing w:after="120"/>
        <w:ind w:left="-357"/>
        <w:jc w:val="both"/>
        <w:rPr>
          <w:rFonts w:ascii="Times New Roman" w:hAnsi="Times New Roman"/>
          <w:sz w:val="24"/>
          <w:szCs w:val="24"/>
        </w:rPr>
      </w:pPr>
      <w:r w:rsidRPr="00D72DB6">
        <w:rPr>
          <w:rFonts w:ascii="Times New Roman" w:hAnsi="Times New Roman"/>
          <w:sz w:val="24"/>
          <w:szCs w:val="24"/>
        </w:rPr>
        <w:t>Në funksion të zbatimit të Vendimit nr. 49/2017</w:t>
      </w:r>
      <w:r w:rsidRPr="00D72DB6">
        <w:rPr>
          <w:rFonts w:ascii="Times New Roman" w:hAnsi="Times New Roman"/>
          <w:i/>
          <w:sz w:val="24"/>
          <w:szCs w:val="24"/>
        </w:rPr>
        <w:t xml:space="preserve">“Për krijimin e mekanizmit për monitorimin sistematik të ndjekjes dhe zbatimit të rekomandimeve të institucioneve të pavarura kushtetuese dhe atyre të krijuara me ligj”, </w:t>
      </w:r>
      <w:r w:rsidRPr="00D72DB6">
        <w:rPr>
          <w:rFonts w:ascii="Times New Roman" w:hAnsi="Times New Roman"/>
          <w:sz w:val="24"/>
          <w:szCs w:val="24"/>
        </w:rPr>
        <w:t>sa</w:t>
      </w:r>
      <w:r w:rsidRPr="00D72DB6">
        <w:rPr>
          <w:rFonts w:ascii="Times New Roman" w:hAnsi="Times New Roman"/>
          <w:i/>
          <w:sz w:val="24"/>
          <w:szCs w:val="24"/>
        </w:rPr>
        <w:t xml:space="preserve"> </w:t>
      </w:r>
      <w:r w:rsidRPr="00D72DB6">
        <w:rPr>
          <w:rFonts w:ascii="Times New Roman" w:hAnsi="Times New Roman"/>
          <w:sz w:val="24"/>
          <w:szCs w:val="24"/>
        </w:rPr>
        <w:t>më poshtë renditen kërkesat e shtjelluara si pjesë e Aneksit 1 të Raportit Vjetor 2017 të Zyrës së Komisionerit.</w:t>
      </w:r>
    </w:p>
    <w:p w:rsidR="00D72DB6" w:rsidRPr="00D72DB6" w:rsidRDefault="00D72DB6" w:rsidP="00D72DB6">
      <w:pPr>
        <w:pStyle w:val="ListParagraph"/>
        <w:numPr>
          <w:ilvl w:val="0"/>
          <w:numId w:val="24"/>
        </w:numPr>
        <w:ind w:left="284"/>
        <w:rPr>
          <w:rFonts w:ascii="Times New Roman" w:hAnsi="Times New Roman"/>
          <w:b/>
          <w:color w:val="0070C0"/>
          <w:sz w:val="24"/>
          <w:szCs w:val="24"/>
          <w:lang w:eastAsia="en-GB"/>
        </w:rPr>
      </w:pPr>
      <w:bookmarkStart w:id="43" w:name="_Toc506984747"/>
      <w:r w:rsidRPr="00D72DB6">
        <w:rPr>
          <w:rFonts w:ascii="Times New Roman" w:hAnsi="Times New Roman"/>
          <w:b/>
          <w:color w:val="0070C0"/>
          <w:sz w:val="24"/>
          <w:szCs w:val="24"/>
          <w:lang w:eastAsia="en-GB"/>
        </w:rPr>
        <w:t>Zbatimi i rekomandimeve të rezolutës së Kuvendit të vitit paraardhës për vlerësimin e veprimtarisë së institucionit</w:t>
      </w:r>
      <w:bookmarkEnd w:id="43"/>
      <w:r w:rsidRPr="00D72DB6">
        <w:rPr>
          <w:rFonts w:ascii="Times New Roman" w:hAnsi="Times New Roman"/>
          <w:b/>
          <w:color w:val="0070C0"/>
          <w:sz w:val="24"/>
          <w:szCs w:val="24"/>
          <w:lang w:eastAsia="en-GB"/>
        </w:rPr>
        <w:t>.</w:t>
      </w:r>
    </w:p>
    <w:p w:rsidR="00D72DB6" w:rsidRPr="00D72DB6" w:rsidRDefault="00D72DB6" w:rsidP="00D72DB6">
      <w:pPr>
        <w:keepNext/>
        <w:keepLines/>
        <w:numPr>
          <w:ilvl w:val="0"/>
          <w:numId w:val="25"/>
        </w:numPr>
        <w:spacing w:before="40" w:after="120"/>
        <w:ind w:left="714" w:hanging="357"/>
        <w:jc w:val="both"/>
        <w:outlineLvl w:val="1"/>
        <w:rPr>
          <w:rFonts w:ascii="Times New Roman" w:eastAsiaTheme="minorEastAsia" w:hAnsi="Times New Roman"/>
          <w:b/>
          <w:color w:val="2E74B5" w:themeColor="accent1" w:themeShade="BF"/>
          <w:sz w:val="24"/>
          <w:szCs w:val="24"/>
          <w:lang w:eastAsia="en-GB"/>
        </w:rPr>
      </w:pPr>
      <w:bookmarkStart w:id="44" w:name="_Toc507424909"/>
      <w:r w:rsidRPr="00D72DB6">
        <w:rPr>
          <w:rFonts w:ascii="Times New Roman" w:eastAsiaTheme="majorEastAsia" w:hAnsi="Times New Roman"/>
          <w:b/>
          <w:sz w:val="24"/>
          <w:szCs w:val="24"/>
        </w:rPr>
        <w:t>Thellimin e monitorimit dhe mbikëqyrjes së ligjit nr. 119/2014 “Për të Drejtën e Informimit” dhe ligjit nr. 9887/2008 “Për Mbrojtjen e të Dhënave Personale”.</w:t>
      </w:r>
      <w:bookmarkEnd w:id="44"/>
    </w:p>
    <w:p w:rsidR="00D72DB6" w:rsidRPr="00D72DB6" w:rsidRDefault="00D72DB6" w:rsidP="00D72DB6">
      <w:pPr>
        <w:spacing w:after="120"/>
        <w:jc w:val="both"/>
        <w:rPr>
          <w:rFonts w:ascii="Times New Roman" w:hAnsi="Times New Roman"/>
          <w:sz w:val="24"/>
          <w:szCs w:val="24"/>
        </w:rPr>
      </w:pPr>
      <w:r w:rsidRPr="00D72DB6">
        <w:rPr>
          <w:rFonts w:ascii="Times New Roman" w:hAnsi="Times New Roman"/>
          <w:sz w:val="24"/>
          <w:szCs w:val="24"/>
        </w:rPr>
        <w:t xml:space="preserve">Për zbatimin e ligjit nr.119/2014 “Për të drejtën e informimit”, Zyra e Komisionerit ka zhvilluar inspektime pranë institucioneve të pushtetit qëndror, vendor si dhe institucioneve të pavarura, qoftë mbi bazë ankese apo dhe me iniciativën e saj. Autoritetet Publike janë monitoruar edhe për të verifikuar përditësimin e programeve të transparencës dhe regjistrave të kërkesave dhe përgjigjeve. Në përfundim të çdo monitorimi, Zyra e Komisionerit ka dalë me aktin përkatës ose ka vënë në dispozicion të Autoriteteve Publike gjetjet e saj me synim përmirësimin e nivelit të transparencës. </w:t>
      </w:r>
    </w:p>
    <w:p w:rsidR="00D72DB6" w:rsidRPr="00D72DB6" w:rsidRDefault="00D72DB6" w:rsidP="00D72DB6">
      <w:pPr>
        <w:spacing w:after="240"/>
        <w:jc w:val="both"/>
        <w:rPr>
          <w:rFonts w:ascii="Times New Roman" w:hAnsi="Times New Roman"/>
          <w:sz w:val="24"/>
          <w:szCs w:val="24"/>
        </w:rPr>
      </w:pPr>
      <w:r w:rsidRPr="00D72DB6">
        <w:rPr>
          <w:rFonts w:ascii="Times New Roman" w:hAnsi="Times New Roman"/>
          <w:sz w:val="24"/>
          <w:szCs w:val="24"/>
        </w:rPr>
        <w:t>Zyra e Komisionerit gjatë këtij viti ka ndërmarrë hapa konkretë në kuadër të garantimit të të drejtave të subjekteve të të dhënave dhe realizimit në praktikë të detyrimeve të kontrolluesve publikë dhe privatë. Monitorimi është kryer nëpërmjet mekanizmave të brendshëm, kryesisht, ashtu edhe nëpërmjet indikatorëve të jashtëm, nga qytetarët dhe media. Tematika e monitorimit dhe mbikqyrjes së ligjit për mbrojtjen e të dhënave personale ka qenë më specifike, sektorët janë përzgjedhur mbi madhësinë e kontrolluesve, por edhe duke u mbështetur në problematikat e aktualitetit.</w:t>
      </w:r>
    </w:p>
    <w:p w:rsidR="00D72DB6" w:rsidRPr="00D72DB6" w:rsidRDefault="00D72DB6" w:rsidP="00D72DB6">
      <w:pPr>
        <w:numPr>
          <w:ilvl w:val="0"/>
          <w:numId w:val="25"/>
        </w:numPr>
        <w:spacing w:after="120"/>
        <w:ind w:left="714" w:hanging="357"/>
        <w:jc w:val="both"/>
        <w:rPr>
          <w:rFonts w:ascii="Times New Roman" w:hAnsi="Times New Roman"/>
          <w:b/>
          <w:bCs/>
          <w:sz w:val="24"/>
          <w:szCs w:val="24"/>
        </w:rPr>
      </w:pPr>
      <w:r w:rsidRPr="00D72DB6">
        <w:rPr>
          <w:rFonts w:ascii="Times New Roman" w:eastAsia="Times New Roman" w:hAnsi="Times New Roman"/>
          <w:b/>
          <w:sz w:val="24"/>
          <w:szCs w:val="24"/>
        </w:rPr>
        <w:t xml:space="preserve">Rritjen e </w:t>
      </w:r>
      <w:r w:rsidRPr="00D72DB6">
        <w:rPr>
          <w:rFonts w:ascii="Times New Roman" w:hAnsi="Times New Roman"/>
          <w:b/>
          <w:bCs/>
          <w:sz w:val="24"/>
          <w:szCs w:val="24"/>
        </w:rPr>
        <w:t xml:space="preserve">numrit të kontrolleve dhe hetimeve administrative, </w:t>
      </w:r>
      <w:r w:rsidRPr="00D72DB6">
        <w:rPr>
          <w:rFonts w:ascii="Times New Roman" w:eastAsia="Times New Roman" w:hAnsi="Times New Roman"/>
          <w:b/>
          <w:sz w:val="24"/>
          <w:szCs w:val="24"/>
        </w:rPr>
        <w:t>lidhur me respektimin e të drejtës së informimit dhe mbrojtjen e të dhënave personale, me fokus të veçantë inspektimet kryesisht me plan tematik dhe në sektorë të ndryshëm.</w:t>
      </w:r>
    </w:p>
    <w:p w:rsidR="00D72DB6" w:rsidRPr="00D72DB6" w:rsidRDefault="00D72DB6" w:rsidP="00D72DB6">
      <w:pPr>
        <w:tabs>
          <w:tab w:val="left" w:pos="180"/>
          <w:tab w:val="left" w:pos="360"/>
          <w:tab w:val="left" w:pos="1170"/>
        </w:tabs>
        <w:spacing w:after="120"/>
        <w:jc w:val="both"/>
        <w:rPr>
          <w:rFonts w:ascii="Times New Roman" w:hAnsi="Times New Roman"/>
          <w:color w:val="000000" w:themeColor="text1"/>
          <w:sz w:val="24"/>
          <w:szCs w:val="24"/>
        </w:rPr>
      </w:pPr>
      <w:r w:rsidRPr="00D72DB6">
        <w:rPr>
          <w:rFonts w:ascii="Times New Roman" w:hAnsi="Times New Roman"/>
          <w:color w:val="000000" w:themeColor="text1"/>
          <w:sz w:val="24"/>
          <w:szCs w:val="24"/>
        </w:rPr>
        <w:t>Inspektimet administrative të kryera për të drejtën e informimit, kanë konsistuar ne verifikimin e ankesave të depozituara pranë Zyrës së Komisionerit si dhe inspektime të kryera për programet e transparencës. Ankesat e depozituara nga persona fizikë dhe persona juridikë kanë qenë kryesisht për mosrespektim të të drejtës për informim brenda afatit ligjor. Gjatë vitit 2017 janë kryer 98 hetime administrative, 3 më shumë se në vitin 2016.</w:t>
      </w:r>
    </w:p>
    <w:p w:rsidR="00D72DB6" w:rsidRPr="00D72DB6" w:rsidRDefault="00D72DB6" w:rsidP="00D72DB6">
      <w:pPr>
        <w:tabs>
          <w:tab w:val="left" w:pos="180"/>
          <w:tab w:val="left" w:pos="360"/>
          <w:tab w:val="left" w:pos="1170"/>
        </w:tabs>
        <w:spacing w:after="120"/>
        <w:jc w:val="both"/>
        <w:rPr>
          <w:rFonts w:ascii="Times New Roman" w:hAnsi="Times New Roman"/>
          <w:color w:val="000000" w:themeColor="text1"/>
          <w:sz w:val="24"/>
          <w:szCs w:val="24"/>
        </w:rPr>
      </w:pPr>
      <w:r w:rsidRPr="00D72DB6">
        <w:rPr>
          <w:rFonts w:ascii="Times New Roman" w:hAnsi="Times New Roman"/>
          <w:color w:val="000000" w:themeColor="text1"/>
          <w:sz w:val="24"/>
          <w:szCs w:val="24"/>
        </w:rPr>
        <w:t>Lidhur me inspektimet administrative të kryera</w:t>
      </w:r>
      <w:r w:rsidRPr="00D72DB6">
        <w:rPr>
          <w:rFonts w:ascii="Times New Roman" w:hAnsi="Times New Roman"/>
          <w:sz w:val="24"/>
          <w:szCs w:val="24"/>
        </w:rPr>
        <w:t xml:space="preserve"> për mbrojtjen e të dhënave personale, gjatë këtij viti Zyra e Komisionerit ka intensifikuar kontrollet dhe hetimet administrative me iniciative pranë kontrolluesve privatë dhe publikë, duke u fokusuar në sektorë të cilët përpunojnë sasi të mëdha të dhënash personale dhe që kanë një impakt të madh në jetën e individëve. Konkretisht, </w:t>
      </w:r>
      <w:r w:rsidRPr="00D72DB6">
        <w:rPr>
          <w:rFonts w:ascii="Times New Roman" w:eastAsia="Times New Roman" w:hAnsi="Times New Roman"/>
          <w:sz w:val="24"/>
          <w:szCs w:val="24"/>
        </w:rPr>
        <w:t>sektorët kryesorë të kontrolleve administrative janë s</w:t>
      </w:r>
      <w:r w:rsidRPr="00D72DB6">
        <w:rPr>
          <w:rFonts w:ascii="Times New Roman" w:hAnsi="Times New Roman"/>
          <w:sz w:val="24"/>
          <w:szCs w:val="24"/>
        </w:rPr>
        <w:t>hëndetësia, sektori bankar, telekomunikacioni, marketingu i drejtpërdrejtë, agjensitë turistike, call-center,</w:t>
      </w:r>
      <w:r w:rsidRPr="00D72DB6">
        <w:rPr>
          <w:rFonts w:ascii="Times New Roman" w:eastAsia="Times New Roman" w:hAnsi="Times New Roman"/>
          <w:sz w:val="24"/>
          <w:szCs w:val="24"/>
        </w:rPr>
        <w:t xml:space="preserve"> </w:t>
      </w:r>
      <w:r w:rsidRPr="00D72DB6">
        <w:rPr>
          <w:rFonts w:ascii="Times New Roman" w:hAnsi="Times New Roman"/>
          <w:sz w:val="24"/>
          <w:szCs w:val="24"/>
        </w:rPr>
        <w:lastRenderedPageBreak/>
        <w:t>Institucione të Ekzekutimit të Vendimeve Penale, arsimi i lartë universitar privat dhe publik,</w:t>
      </w:r>
      <w:r w:rsidRPr="00D72DB6">
        <w:rPr>
          <w:rFonts w:ascii="Times New Roman" w:eastAsia="Times New Roman" w:hAnsi="Times New Roman"/>
          <w:sz w:val="24"/>
          <w:szCs w:val="24"/>
        </w:rPr>
        <w:t xml:space="preserve"> </w:t>
      </w:r>
      <w:r w:rsidRPr="00D72DB6">
        <w:rPr>
          <w:rFonts w:ascii="Times New Roman" w:hAnsi="Times New Roman"/>
          <w:sz w:val="24"/>
          <w:szCs w:val="24"/>
        </w:rPr>
        <w:t>institucione publike dhe private të kujdesit shoqëror si dhe shoqëri private të sigurisë fizike.</w:t>
      </w:r>
    </w:p>
    <w:p w:rsidR="00D72DB6" w:rsidRPr="00D72DB6" w:rsidRDefault="00D72DB6" w:rsidP="00D72DB6">
      <w:pPr>
        <w:spacing w:after="120"/>
        <w:jc w:val="both"/>
        <w:rPr>
          <w:rFonts w:ascii="Times New Roman" w:hAnsi="Times New Roman"/>
          <w:sz w:val="24"/>
          <w:szCs w:val="24"/>
        </w:rPr>
      </w:pPr>
      <w:r w:rsidRPr="00D72DB6">
        <w:rPr>
          <w:rFonts w:ascii="Times New Roman" w:hAnsi="Times New Roman"/>
          <w:sz w:val="24"/>
          <w:szCs w:val="24"/>
        </w:rPr>
        <w:t>Në këtë kuadër, referuar shifrave, konstatohet që gjatë këtij viti janë ushtruar 184 inspektime (nga 179 në vitin 2016). Kjo rritje i dedikohet edhe numrit në rritje të ankesave të ardhura nga qytetarët, çka tregon një ndërgjegjësim më të madh mbi rëndësinë e mbrojtjes së të dhënave personale.</w:t>
      </w:r>
    </w:p>
    <w:p w:rsidR="00D72DB6" w:rsidRPr="00D72DB6" w:rsidRDefault="00D72DB6" w:rsidP="00D72DB6">
      <w:pPr>
        <w:numPr>
          <w:ilvl w:val="0"/>
          <w:numId w:val="25"/>
        </w:numPr>
        <w:spacing w:after="120"/>
        <w:jc w:val="both"/>
        <w:rPr>
          <w:rFonts w:ascii="Times New Roman" w:hAnsi="Times New Roman"/>
          <w:b/>
          <w:sz w:val="24"/>
          <w:szCs w:val="24"/>
        </w:rPr>
      </w:pPr>
      <w:r w:rsidRPr="00D72DB6">
        <w:rPr>
          <w:rFonts w:ascii="Times New Roman" w:hAnsi="Times New Roman"/>
          <w:b/>
          <w:sz w:val="24"/>
          <w:szCs w:val="24"/>
        </w:rPr>
        <w:t>Rritjen e masave administrative për shkelje ligjore të konstatuara, me fokus të veçantë mungesën e programeve të transparencës dhe regjistrit të kërkesave dhe përgjigjeve.</w:t>
      </w:r>
    </w:p>
    <w:p w:rsidR="00D72DB6" w:rsidRPr="00D72DB6" w:rsidRDefault="00D72DB6" w:rsidP="00D72DB6">
      <w:pPr>
        <w:spacing w:after="120"/>
        <w:jc w:val="both"/>
        <w:rPr>
          <w:rFonts w:ascii="Times New Roman" w:eastAsiaTheme="minorHAnsi" w:hAnsi="Times New Roman"/>
          <w:color w:val="000000" w:themeColor="text1"/>
          <w:sz w:val="24"/>
          <w:szCs w:val="24"/>
        </w:rPr>
      </w:pPr>
      <w:r w:rsidRPr="00D72DB6">
        <w:rPr>
          <w:rFonts w:ascii="Times New Roman" w:hAnsi="Times New Roman"/>
          <w:color w:val="000000" w:themeColor="text1"/>
          <w:sz w:val="24"/>
          <w:szCs w:val="24"/>
        </w:rPr>
        <w:t xml:space="preserve">Në lidhje me masat administrative në sferën e së drejtës për informim, vlen të theksohet se Komisioneri për këtë vit është shprehur me </w:t>
      </w:r>
      <w:r w:rsidRPr="00D72DB6">
        <w:rPr>
          <w:rFonts w:ascii="Times New Roman" w:hAnsi="Times New Roman"/>
          <w:b/>
          <w:color w:val="000000" w:themeColor="text1"/>
          <w:sz w:val="24"/>
          <w:szCs w:val="24"/>
        </w:rPr>
        <w:t>66</w:t>
      </w:r>
      <w:r w:rsidRPr="00D72DB6">
        <w:rPr>
          <w:rFonts w:ascii="Times New Roman" w:hAnsi="Times New Roman"/>
          <w:color w:val="000000" w:themeColor="text1"/>
          <w:sz w:val="24"/>
          <w:szCs w:val="24"/>
        </w:rPr>
        <w:t xml:space="preserve"> vendime për Autoritetet Publike, prej të cilave </w:t>
      </w:r>
      <w:r w:rsidRPr="00D72DB6">
        <w:rPr>
          <w:rFonts w:ascii="Times New Roman" w:hAnsi="Times New Roman"/>
          <w:b/>
          <w:color w:val="000000" w:themeColor="text1"/>
          <w:sz w:val="24"/>
          <w:szCs w:val="24"/>
        </w:rPr>
        <w:t>57</w:t>
      </w:r>
      <w:r w:rsidRPr="00D72DB6">
        <w:rPr>
          <w:rFonts w:ascii="Times New Roman" w:hAnsi="Times New Roman"/>
          <w:color w:val="000000" w:themeColor="text1"/>
          <w:sz w:val="24"/>
          <w:szCs w:val="24"/>
        </w:rPr>
        <w:t xml:space="preserve"> vendime urdhërimi, </w:t>
      </w:r>
      <w:r w:rsidRPr="00D72DB6">
        <w:rPr>
          <w:rFonts w:ascii="Times New Roman" w:hAnsi="Times New Roman"/>
          <w:b/>
          <w:color w:val="000000" w:themeColor="text1"/>
          <w:sz w:val="24"/>
          <w:szCs w:val="24"/>
        </w:rPr>
        <w:t>3</w:t>
      </w:r>
      <w:r w:rsidRPr="00D72DB6">
        <w:rPr>
          <w:rFonts w:ascii="Times New Roman" w:hAnsi="Times New Roman"/>
          <w:color w:val="000000" w:themeColor="text1"/>
          <w:sz w:val="24"/>
          <w:szCs w:val="24"/>
        </w:rPr>
        <w:t xml:space="preserve"> vendime rrëzimi, si dhe </w:t>
      </w:r>
      <w:r w:rsidRPr="00D72DB6">
        <w:rPr>
          <w:rFonts w:ascii="Times New Roman" w:hAnsi="Times New Roman"/>
          <w:b/>
          <w:color w:val="000000" w:themeColor="text1"/>
          <w:sz w:val="24"/>
          <w:szCs w:val="24"/>
        </w:rPr>
        <w:t>6</w:t>
      </w:r>
      <w:r w:rsidRPr="00D72DB6">
        <w:rPr>
          <w:rFonts w:ascii="Times New Roman" w:hAnsi="Times New Roman"/>
          <w:color w:val="000000" w:themeColor="text1"/>
          <w:sz w:val="24"/>
          <w:szCs w:val="24"/>
        </w:rPr>
        <w:t xml:space="preserve"> vendime me sanksion gjobë, (ndërkohë që për vitin 2016 janë dhënë 36 vendime prej të cilave 3 vendime me sanksion gjobë). </w:t>
      </w:r>
    </w:p>
    <w:p w:rsidR="00D72DB6" w:rsidRPr="00D72DB6" w:rsidRDefault="00D72DB6" w:rsidP="00D72DB6">
      <w:pPr>
        <w:numPr>
          <w:ilvl w:val="0"/>
          <w:numId w:val="25"/>
        </w:numPr>
        <w:spacing w:after="120"/>
        <w:jc w:val="both"/>
        <w:rPr>
          <w:rFonts w:ascii="Times New Roman" w:hAnsi="Times New Roman"/>
          <w:b/>
          <w:bCs/>
          <w:iCs/>
          <w:sz w:val="24"/>
          <w:szCs w:val="24"/>
        </w:rPr>
      </w:pPr>
      <w:r w:rsidRPr="00D72DB6">
        <w:rPr>
          <w:rFonts w:ascii="Times New Roman" w:hAnsi="Times New Roman"/>
          <w:b/>
          <w:bCs/>
          <w:iCs/>
          <w:sz w:val="24"/>
          <w:szCs w:val="24"/>
        </w:rPr>
        <w:t>Ndjekjen e zbatimit të Strategjive Ndërsektoriale në kuadër të të drejtës për informim, lidhur me indikatorët e matshëm.</w:t>
      </w:r>
    </w:p>
    <w:p w:rsidR="00D72DB6" w:rsidRPr="00D72DB6" w:rsidRDefault="00D72DB6" w:rsidP="00D72DB6">
      <w:pPr>
        <w:numPr>
          <w:ilvl w:val="0"/>
          <w:numId w:val="26"/>
        </w:numPr>
        <w:shd w:val="clear" w:color="auto" w:fill="FFFFFF" w:themeFill="background1"/>
        <w:spacing w:after="60"/>
        <w:ind w:left="357" w:hanging="357"/>
        <w:jc w:val="both"/>
        <w:rPr>
          <w:rFonts w:ascii="Times New Roman" w:hAnsi="Times New Roman"/>
          <w:bCs/>
          <w:sz w:val="24"/>
          <w:szCs w:val="24"/>
        </w:rPr>
      </w:pPr>
      <w:r w:rsidRPr="00D72DB6">
        <w:rPr>
          <w:rFonts w:ascii="Times New Roman" w:hAnsi="Times New Roman"/>
          <w:bCs/>
          <w:sz w:val="24"/>
          <w:szCs w:val="24"/>
        </w:rPr>
        <w:t>Zyra e</w:t>
      </w:r>
      <w:r w:rsidRPr="00D72DB6">
        <w:rPr>
          <w:rFonts w:ascii="Times New Roman" w:hAnsi="Times New Roman"/>
          <w:bCs/>
          <w:color w:val="FF0000"/>
          <w:sz w:val="24"/>
          <w:szCs w:val="24"/>
        </w:rPr>
        <w:t xml:space="preserve"> </w:t>
      </w:r>
      <w:r w:rsidRPr="00D72DB6">
        <w:rPr>
          <w:rFonts w:ascii="Times New Roman" w:hAnsi="Times New Roman"/>
          <w:bCs/>
          <w:sz w:val="24"/>
          <w:szCs w:val="24"/>
        </w:rPr>
        <w:t>Komisionerit, si një institucion i cili ka në fokus</w:t>
      </w:r>
      <w:r w:rsidRPr="00D72DB6">
        <w:rPr>
          <w:rFonts w:ascii="Times New Roman" w:hAnsi="Times New Roman"/>
          <w:color w:val="666666"/>
          <w:sz w:val="24"/>
          <w:szCs w:val="24"/>
          <w:shd w:val="clear" w:color="auto" w:fill="FFFFFF"/>
        </w:rPr>
        <w:t xml:space="preserve"> </w:t>
      </w:r>
      <w:r w:rsidRPr="00D72DB6">
        <w:rPr>
          <w:rFonts w:ascii="Times New Roman" w:hAnsi="Times New Roman"/>
          <w:bCs/>
          <w:sz w:val="24"/>
          <w:szCs w:val="24"/>
        </w:rPr>
        <w:t xml:space="preserve">forcimin e transparencës dhe llogaridhënies së autoriteteve publike, është pjesë e Strategjisë Ndërsektoriale për Reformën në Administratën Publike 2015 – 2020 (SNRAP). Nga raportet e monitorimit vjetorë për zbatimin e Planit të Veprimit të SNRAP, rezulton që aktivitetet për të cilat është përgjegjëse Zyra e Komisionerit janë përmbushur në përputhje me pasaportën e indikatorëve të kësaj strategjie. Në bashkëpunim me përfaqësuesit e Departamentit të Administratës Publike si dhe me asistencën e ekspertëve të SIGMA/OECD, Zyra e Komisionerit ka hartuar masat që do të ketë në Planin e Veprimit të SNRAP për vitet 2018-2020; </w:t>
      </w:r>
    </w:p>
    <w:p w:rsidR="00D72DB6" w:rsidRPr="00D72DB6" w:rsidRDefault="00D72DB6" w:rsidP="00D72DB6">
      <w:pPr>
        <w:numPr>
          <w:ilvl w:val="0"/>
          <w:numId w:val="26"/>
        </w:numPr>
        <w:shd w:val="clear" w:color="auto" w:fill="FFFFFF" w:themeFill="background1"/>
        <w:autoSpaceDE w:val="0"/>
        <w:autoSpaceDN w:val="0"/>
        <w:adjustRightInd w:val="0"/>
        <w:spacing w:after="60"/>
        <w:ind w:left="357" w:hanging="357"/>
        <w:jc w:val="both"/>
        <w:rPr>
          <w:rFonts w:ascii="Times New Roman" w:hAnsi="Times New Roman"/>
          <w:sz w:val="24"/>
          <w:szCs w:val="24"/>
        </w:rPr>
      </w:pPr>
      <w:r w:rsidRPr="00D72DB6">
        <w:rPr>
          <w:rFonts w:ascii="Times New Roman" w:hAnsi="Times New Roman"/>
          <w:bCs/>
          <w:iCs/>
          <w:sz w:val="24"/>
          <w:szCs w:val="24"/>
        </w:rPr>
        <w:t>Zyra e Komisionerit është përgjegjëse për zbatimin e një prej 10 indikatorëve të parashikuar në  “</w:t>
      </w:r>
      <w:r w:rsidRPr="00D72DB6">
        <w:rPr>
          <w:rFonts w:ascii="Times New Roman" w:hAnsi="Times New Roman"/>
          <w:bCs/>
          <w:i/>
          <w:iCs/>
          <w:sz w:val="24"/>
          <w:szCs w:val="24"/>
        </w:rPr>
        <w:t>Kontrata Sektoriale e Mbështetjes Buxhetore për Reformën në Administratën Publike</w:t>
      </w:r>
      <w:r w:rsidRPr="00D72DB6">
        <w:rPr>
          <w:rFonts w:ascii="Times New Roman" w:hAnsi="Times New Roman"/>
          <w:bCs/>
          <w:iCs/>
          <w:sz w:val="24"/>
          <w:szCs w:val="24"/>
        </w:rPr>
        <w:t xml:space="preserve">”. </w:t>
      </w:r>
      <w:r w:rsidRPr="00D72DB6">
        <w:rPr>
          <w:rFonts w:ascii="Times New Roman" w:hAnsi="Times New Roman"/>
          <w:sz w:val="24"/>
          <w:szCs w:val="24"/>
        </w:rPr>
        <w:t xml:space="preserve">Ndër 5 (pesë) indikatorët e realizuar plotësisht, ka qenë dhe indikatori për të cilën Zyra e Komisionerit është përgjegjëse për zbatimin e saj; </w:t>
      </w:r>
    </w:p>
    <w:p w:rsidR="00D72DB6" w:rsidRPr="00D72DB6" w:rsidRDefault="00D72DB6" w:rsidP="00D72DB6">
      <w:pPr>
        <w:numPr>
          <w:ilvl w:val="0"/>
          <w:numId w:val="26"/>
        </w:numPr>
        <w:shd w:val="clear" w:color="auto" w:fill="FFFFFF" w:themeFill="background1"/>
        <w:spacing w:after="60"/>
        <w:ind w:left="357" w:hanging="357"/>
        <w:jc w:val="both"/>
        <w:rPr>
          <w:rFonts w:ascii="Times New Roman" w:hAnsi="Times New Roman"/>
          <w:sz w:val="24"/>
          <w:szCs w:val="24"/>
        </w:rPr>
      </w:pPr>
      <w:r w:rsidRPr="00D72DB6">
        <w:rPr>
          <w:rFonts w:ascii="Times New Roman" w:hAnsi="Times New Roman"/>
          <w:sz w:val="24"/>
          <w:szCs w:val="24"/>
        </w:rPr>
        <w:t>Zyra e Komisionerit është gjithashtu pjesë e Strategjisë Ndërsektoriale në luftën Kundër Korrupsionit. Gjatë këtij vitit, ka vijuar puna lidhur me realizimin e masave të parashikuara në planin e veprimit të strategjisë, të cilat janë realizuar thuajse plotësisht. Në bashkëpunim me një grup ekspertësh të Bashkimit Europian, janë hartuar dy indikatorët që Zyra e Komisionerit do të ketë lidhur me strategjinë. Këta indikatorë do të masin jo vetëm nivelin e transparencës së institucioneve, si një nga instrumentet kryesor në luftën kundër korrupsionit, por do të shërbejnë dhe si tregues të zbatimit të ligjit për të drejtën e informimit.</w:t>
      </w:r>
    </w:p>
    <w:p w:rsidR="00D72DB6" w:rsidRPr="00D72DB6" w:rsidRDefault="00D72DB6" w:rsidP="00D72DB6">
      <w:pPr>
        <w:numPr>
          <w:ilvl w:val="0"/>
          <w:numId w:val="25"/>
        </w:numPr>
        <w:spacing w:after="120"/>
        <w:jc w:val="both"/>
        <w:rPr>
          <w:rFonts w:ascii="Times New Roman" w:hAnsi="Times New Roman"/>
          <w:b/>
          <w:bCs/>
          <w:iCs/>
          <w:sz w:val="24"/>
          <w:szCs w:val="24"/>
        </w:rPr>
      </w:pPr>
      <w:r w:rsidRPr="00D72DB6">
        <w:rPr>
          <w:rFonts w:ascii="Times New Roman" w:hAnsi="Times New Roman"/>
          <w:b/>
          <w:bCs/>
          <w:sz w:val="24"/>
          <w:szCs w:val="24"/>
        </w:rPr>
        <w:t xml:space="preserve">Dhënien e ekspertizës në vazhdimësi për përmirësimin e kuadrit </w:t>
      </w:r>
      <w:r w:rsidRPr="00D72DB6">
        <w:rPr>
          <w:rFonts w:ascii="Times New Roman" w:hAnsi="Times New Roman"/>
          <w:b/>
          <w:bCs/>
          <w:iCs/>
          <w:sz w:val="24"/>
          <w:szCs w:val="24"/>
        </w:rPr>
        <w:t>ligjor në fushën e të dhënave personale, në përputhje me Rregulloren e re të Përgjithshme të Mbrojtjes së të Dhënave Personale të BE(GDPR).</w:t>
      </w:r>
    </w:p>
    <w:p w:rsidR="00D72DB6" w:rsidRPr="00D72DB6" w:rsidRDefault="00D72DB6" w:rsidP="00D72DB6">
      <w:pPr>
        <w:spacing w:after="120"/>
        <w:jc w:val="both"/>
        <w:rPr>
          <w:rFonts w:ascii="Times New Roman" w:hAnsi="Times New Roman"/>
          <w:sz w:val="24"/>
          <w:szCs w:val="24"/>
        </w:rPr>
      </w:pPr>
      <w:r w:rsidRPr="00D72DB6">
        <w:rPr>
          <w:rFonts w:ascii="Times New Roman" w:hAnsi="Times New Roman"/>
          <w:sz w:val="24"/>
          <w:szCs w:val="24"/>
        </w:rPr>
        <w:t xml:space="preserve">Përshtatja e legjislacionit vendas me GDPR, e cila hyn në fuqi në muajin maj të këtij viti, është objektivi kryesor i punës së Zyrës së Komisionerit për dy vitet në vijim në fushën e </w:t>
      </w:r>
      <w:r w:rsidRPr="00D72DB6">
        <w:rPr>
          <w:rFonts w:ascii="Times New Roman" w:hAnsi="Times New Roman"/>
          <w:sz w:val="24"/>
          <w:szCs w:val="24"/>
        </w:rPr>
        <w:lastRenderedPageBreak/>
        <w:t xml:space="preserve">veprimtarisë për mbrojtjen e të dhënave personale. Kjo është parashikuar edhe në </w:t>
      </w:r>
      <w:r w:rsidRPr="00D72DB6">
        <w:rPr>
          <w:rFonts w:ascii="Times New Roman" w:eastAsia="Times New Roman" w:hAnsi="Times New Roman"/>
          <w:color w:val="000000"/>
          <w:sz w:val="24"/>
          <w:szCs w:val="24"/>
          <w:lang w:eastAsia="sq-AL"/>
        </w:rPr>
        <w:t>Planin Kombëtar të Integrimit Evropian (PKIE).</w:t>
      </w:r>
    </w:p>
    <w:p w:rsidR="00D72DB6" w:rsidRPr="00D72DB6" w:rsidRDefault="00D72DB6" w:rsidP="00D72DB6">
      <w:pPr>
        <w:spacing w:after="120"/>
        <w:jc w:val="both"/>
        <w:rPr>
          <w:rFonts w:ascii="Times New Roman" w:hAnsi="Times New Roman"/>
          <w:sz w:val="24"/>
          <w:szCs w:val="24"/>
        </w:rPr>
      </w:pPr>
      <w:r w:rsidRPr="00D72DB6">
        <w:rPr>
          <w:rFonts w:ascii="Times New Roman" w:hAnsi="Times New Roman"/>
          <w:sz w:val="24"/>
          <w:szCs w:val="24"/>
        </w:rPr>
        <w:t>Që prej miratimit të saj, Zyra e Komisionerit është angazhuar nëpërmjet aplikimit për 1 projekt-konsorcium Horizont 2020 dhe 6 trajnime.</w:t>
      </w:r>
    </w:p>
    <w:p w:rsidR="00D72DB6" w:rsidRPr="00D72DB6" w:rsidRDefault="00D72DB6" w:rsidP="00D72DB6">
      <w:pPr>
        <w:numPr>
          <w:ilvl w:val="0"/>
          <w:numId w:val="25"/>
        </w:numPr>
        <w:spacing w:after="120"/>
        <w:jc w:val="both"/>
        <w:rPr>
          <w:rFonts w:ascii="Times New Roman" w:hAnsi="Times New Roman"/>
          <w:b/>
          <w:bCs/>
          <w:sz w:val="24"/>
          <w:szCs w:val="24"/>
        </w:rPr>
      </w:pPr>
      <w:r w:rsidRPr="00D72DB6">
        <w:rPr>
          <w:rFonts w:ascii="Times New Roman" w:hAnsi="Times New Roman"/>
          <w:b/>
          <w:bCs/>
          <w:sz w:val="24"/>
          <w:szCs w:val="24"/>
        </w:rPr>
        <w:t>Verifikimin e vazhdueshëm të zbatimit të Rekomandimeve dhënë kontrolluesve.</w:t>
      </w:r>
    </w:p>
    <w:p w:rsidR="00D72DB6" w:rsidRPr="00D72DB6" w:rsidRDefault="00D72DB6" w:rsidP="00D72DB6">
      <w:pPr>
        <w:spacing w:after="120"/>
        <w:jc w:val="both"/>
        <w:rPr>
          <w:rFonts w:ascii="Times New Roman" w:hAnsi="Times New Roman"/>
          <w:sz w:val="24"/>
          <w:szCs w:val="24"/>
        </w:rPr>
      </w:pPr>
      <w:r w:rsidRPr="00D72DB6">
        <w:rPr>
          <w:rFonts w:ascii="Times New Roman" w:hAnsi="Times New Roman"/>
          <w:sz w:val="24"/>
          <w:szCs w:val="24"/>
        </w:rPr>
        <w:t xml:space="preserve">Verifikimi i rekomandimeve dhënë kontrolluesve mbetet një angazhim i vazhdueshëm i Zyrës së Komisionerit. Për këtë periudhë raportimi Zyra e Komisionerit, është fokusuar në shërbimet online dhe verifikimin e “Politikave të Privatësisë” në faqet zyrtare të kontrolluesve publikë dhe privatë. </w:t>
      </w:r>
    </w:p>
    <w:p w:rsidR="00D72DB6" w:rsidRPr="00D72DB6" w:rsidRDefault="00D72DB6" w:rsidP="00D72DB6">
      <w:pPr>
        <w:spacing w:after="120"/>
        <w:jc w:val="both"/>
        <w:rPr>
          <w:rFonts w:ascii="Times New Roman" w:hAnsi="Times New Roman"/>
          <w:sz w:val="24"/>
          <w:szCs w:val="24"/>
        </w:rPr>
      </w:pPr>
      <w:r w:rsidRPr="00D72DB6">
        <w:rPr>
          <w:rFonts w:ascii="Times New Roman" w:hAnsi="Times New Roman"/>
          <w:sz w:val="24"/>
          <w:szCs w:val="24"/>
        </w:rPr>
        <w:t>Është verifikuar përmbushja e rekomandimeve të pushtetit vendor për 61 njësi të vetëqeverisjes vendore të dhëna gjatë vitit 2016 (proces në vazhdim).</w:t>
      </w:r>
    </w:p>
    <w:p w:rsidR="00D72DB6" w:rsidRPr="00D72DB6" w:rsidRDefault="00D72DB6" w:rsidP="00D72DB6">
      <w:pPr>
        <w:spacing w:after="120"/>
        <w:jc w:val="both"/>
        <w:rPr>
          <w:rFonts w:ascii="Times New Roman" w:hAnsi="Times New Roman"/>
          <w:sz w:val="24"/>
          <w:szCs w:val="24"/>
        </w:rPr>
      </w:pPr>
      <w:r w:rsidRPr="00D72DB6">
        <w:rPr>
          <w:rFonts w:ascii="Times New Roman" w:hAnsi="Times New Roman"/>
          <w:sz w:val="24"/>
          <w:szCs w:val="24"/>
        </w:rPr>
        <w:t>Gjithashtu, verifikimi i rekomandimeve është realizuar edhe nëpërmjet përzgjedhjes së kontrolluesve në sektorët e hetuar kryesisht, si në fushën e arsimit dhe call center apo edhe nëpërmjet detyrimit që kanë vetë kontrolluesit për njoftimin për përmbushjen e rekomandimeve.</w:t>
      </w:r>
    </w:p>
    <w:p w:rsidR="00D72DB6" w:rsidRPr="00D72DB6" w:rsidRDefault="00D72DB6" w:rsidP="00D72DB6">
      <w:pPr>
        <w:numPr>
          <w:ilvl w:val="0"/>
          <w:numId w:val="25"/>
        </w:numPr>
        <w:spacing w:after="120"/>
        <w:jc w:val="both"/>
        <w:rPr>
          <w:rFonts w:ascii="Times New Roman" w:hAnsi="Times New Roman"/>
          <w:bCs/>
          <w:i/>
          <w:sz w:val="24"/>
          <w:szCs w:val="24"/>
          <w:u w:val="single"/>
        </w:rPr>
      </w:pPr>
      <w:r w:rsidRPr="00D72DB6">
        <w:rPr>
          <w:rFonts w:ascii="Times New Roman" w:hAnsi="Times New Roman"/>
          <w:b/>
          <w:bCs/>
          <w:sz w:val="24"/>
          <w:szCs w:val="24"/>
        </w:rPr>
        <w:t>Rritjen e fushatave ndërgjegjësuese në të dy fushat e veprimtarisë me institucione publike e private dhe shoqërinë civile</w:t>
      </w:r>
      <w:r w:rsidRPr="00D72DB6">
        <w:rPr>
          <w:rFonts w:ascii="Times New Roman" w:hAnsi="Times New Roman"/>
          <w:bCs/>
          <w:sz w:val="24"/>
          <w:szCs w:val="24"/>
        </w:rPr>
        <w:t>.</w:t>
      </w:r>
    </w:p>
    <w:p w:rsidR="00D72DB6" w:rsidRPr="00D72DB6" w:rsidRDefault="00D72DB6" w:rsidP="00D72DB6">
      <w:pPr>
        <w:spacing w:after="120"/>
        <w:ind w:left="-90"/>
        <w:jc w:val="both"/>
        <w:rPr>
          <w:rFonts w:ascii="Times New Roman" w:hAnsi="Times New Roman"/>
          <w:sz w:val="24"/>
          <w:szCs w:val="24"/>
        </w:rPr>
      </w:pPr>
      <w:r w:rsidRPr="00D72DB6">
        <w:rPr>
          <w:rFonts w:ascii="Times New Roman" w:hAnsi="Times New Roman"/>
          <w:sz w:val="24"/>
          <w:szCs w:val="24"/>
        </w:rPr>
        <w:t xml:space="preserve">Zyra e Komisionerit ka vazhduar edhe për këtë vit trajnimin e target grupeve të ndryshme me parimet e të drejtës për informim dhe mbrojtjen e të dhënave personale. Konkretisht, janë zhvilluar disa trajnime për studentët dhe stafin akademik në Universitetin e Tiranës, Universitetin Ismail Qemali në Vlorë si dhe Akademinë e Policisë. </w:t>
      </w:r>
    </w:p>
    <w:p w:rsidR="00D72DB6" w:rsidRPr="00D72DB6" w:rsidRDefault="00D72DB6" w:rsidP="00D72DB6">
      <w:pPr>
        <w:spacing w:after="120"/>
        <w:ind w:left="-90"/>
        <w:jc w:val="both"/>
        <w:rPr>
          <w:rFonts w:ascii="Times New Roman" w:hAnsi="Times New Roman"/>
          <w:sz w:val="24"/>
          <w:szCs w:val="24"/>
        </w:rPr>
      </w:pPr>
      <w:r w:rsidRPr="00D72DB6">
        <w:rPr>
          <w:rFonts w:ascii="Times New Roman" w:hAnsi="Times New Roman"/>
          <w:sz w:val="24"/>
          <w:szCs w:val="24"/>
        </w:rPr>
        <w:t>Janë trajnuar koordinatorët e të drejtës për informim në disa qytete të vendit si dhe është organizuar Konferenca III Kombëtare për të Drejtën e Informimit, ku u prezantuan për herë të parë 2 dokumente të rëndësishme si, Instrumenti i Vetëvlerësimit të autoriteteve publike mbi zbatimin e ligjit “Për të drejtën e informimit” dhe Udhëzuesi për  Koordinatorët.</w:t>
      </w:r>
    </w:p>
    <w:p w:rsidR="00D72DB6" w:rsidRPr="00D72DB6" w:rsidRDefault="00D72DB6" w:rsidP="00D72DB6">
      <w:pPr>
        <w:spacing w:after="120"/>
        <w:ind w:left="-90"/>
        <w:jc w:val="both"/>
        <w:rPr>
          <w:rFonts w:ascii="Times New Roman" w:hAnsi="Times New Roman"/>
          <w:sz w:val="24"/>
          <w:szCs w:val="24"/>
        </w:rPr>
      </w:pPr>
      <w:r w:rsidRPr="00D72DB6">
        <w:rPr>
          <w:rFonts w:ascii="Times New Roman" w:hAnsi="Times New Roman"/>
          <w:sz w:val="24"/>
          <w:szCs w:val="24"/>
        </w:rPr>
        <w:t>Gjithashtu, janë zhvilluar disa trajnime të fokusuara tek përpunimi i të dhënave personale nëpërmjet videosurvejimit në bashkëpunim me Prezencën e OSBE në Shqipëri apo përpunimi i të dhënave personale në media, në bashkëpunim me Këshillin e Evropës.</w:t>
      </w:r>
    </w:p>
    <w:p w:rsidR="00D72DB6" w:rsidRPr="00D72DB6" w:rsidRDefault="00D72DB6" w:rsidP="00D72DB6">
      <w:pPr>
        <w:spacing w:after="120"/>
        <w:ind w:left="-90"/>
        <w:jc w:val="both"/>
        <w:rPr>
          <w:rFonts w:ascii="Times New Roman" w:hAnsi="Times New Roman"/>
          <w:sz w:val="24"/>
          <w:szCs w:val="24"/>
        </w:rPr>
      </w:pPr>
      <w:r w:rsidRPr="00D72DB6">
        <w:rPr>
          <w:rFonts w:ascii="Times New Roman" w:hAnsi="Times New Roman"/>
          <w:sz w:val="24"/>
          <w:szCs w:val="24"/>
        </w:rPr>
        <w:t xml:space="preserve"> Me rastin e 28 Janarit, Ditës Evropiane të Mbrojtjes së të Dhënave Personale u promovua dhe realizimi i aplikacionit “IDP Ankesa” ku të gjithë qytetarët mund të ankohen pranë Zyrës së Komisionerit në mënyrë të shpejtë dhe të sigurt.</w:t>
      </w:r>
    </w:p>
    <w:p w:rsidR="00D72DB6" w:rsidRPr="00D72DB6" w:rsidRDefault="00D72DB6" w:rsidP="00D72DB6">
      <w:pPr>
        <w:numPr>
          <w:ilvl w:val="0"/>
          <w:numId w:val="25"/>
        </w:numPr>
        <w:spacing w:after="120"/>
        <w:jc w:val="both"/>
        <w:rPr>
          <w:rFonts w:ascii="Times New Roman" w:hAnsi="Times New Roman"/>
          <w:b/>
          <w:sz w:val="24"/>
          <w:szCs w:val="24"/>
        </w:rPr>
      </w:pPr>
      <w:r w:rsidRPr="00D72DB6">
        <w:rPr>
          <w:rFonts w:ascii="Times New Roman" w:hAnsi="Times New Roman"/>
          <w:b/>
          <w:sz w:val="24"/>
          <w:szCs w:val="24"/>
        </w:rPr>
        <w:t>Vazhdimin e edukimit të nxënësve dhe mësuesve për mbrojtjen e privatësisë dhe të dhënave personale në ambientet digjitale.</w:t>
      </w:r>
    </w:p>
    <w:p w:rsidR="00D72DB6" w:rsidRPr="00D72DB6" w:rsidRDefault="00D72DB6" w:rsidP="00D72DB6">
      <w:pPr>
        <w:spacing w:after="120"/>
        <w:ind w:left="-90"/>
        <w:jc w:val="both"/>
        <w:rPr>
          <w:rFonts w:ascii="Times New Roman" w:hAnsi="Times New Roman"/>
          <w:sz w:val="24"/>
          <w:szCs w:val="24"/>
        </w:rPr>
      </w:pPr>
      <w:r w:rsidRPr="00D72DB6">
        <w:rPr>
          <w:rFonts w:ascii="Times New Roman" w:hAnsi="Times New Roman"/>
          <w:sz w:val="24"/>
          <w:szCs w:val="24"/>
        </w:rPr>
        <w:t xml:space="preserve">Zyra e Komisionerit në aktivitetin e organizuar për “Ditën e Internetit të Sigurt”, lançuan fushatën “Privatësi dhe Siguri”. Në këtë aktivitet u prezantuan Rezoluta për “Kuadrin ndërkombëtar të aftësimit për privatësinë” aprovuar në Konferencën e 38-të Ndërkombëtare të Komisionerëve të Mbrojtjes së të Dhënave dhe Privatësisë. “Kuadri i aftësimit” është një dokument me 9 parime për mësuesit e arsimit të detyrueshëm për të edukuar me përgjegjshmëri nxënësit për mbrojtjen e privatësisë në epokën digjitale. </w:t>
      </w:r>
    </w:p>
    <w:p w:rsidR="00D72DB6" w:rsidRPr="00D72DB6" w:rsidRDefault="00D72DB6" w:rsidP="00D72DB6">
      <w:pPr>
        <w:spacing w:after="120"/>
        <w:ind w:left="-90"/>
        <w:jc w:val="both"/>
        <w:rPr>
          <w:rFonts w:ascii="Times New Roman" w:hAnsi="Times New Roman"/>
          <w:sz w:val="24"/>
          <w:szCs w:val="24"/>
        </w:rPr>
      </w:pPr>
      <w:r w:rsidRPr="00D72DB6">
        <w:rPr>
          <w:rFonts w:ascii="Times New Roman" w:hAnsi="Times New Roman"/>
          <w:sz w:val="24"/>
          <w:szCs w:val="24"/>
        </w:rPr>
        <w:lastRenderedPageBreak/>
        <w:t xml:space="preserve">Fushata “Privatësi dhe Siguri” nisi me takimin e realizuar në mjediset e Zyrës së Komisonerit me përfaqësues të DAR/ZA nga i gjithë vendi. Për konsultimin e gjerë të këtij dokumenti janë zhvilluar takime në qarqet e Dibrës, Kukësit, Shkodrës, Lezhës, Elbasanit, Korçës, Durrësit, Gjirokastrës dhe rrethin e Sarandës me mësues të lëndëve të edukatës shoqërore, TIK dhe psikologë. </w:t>
      </w:r>
      <w:r w:rsidRPr="00D72DB6">
        <w:rPr>
          <w:rFonts w:ascii="Times New Roman" w:hAnsi="Times New Roman"/>
          <w:sz w:val="24"/>
          <w:szCs w:val="24"/>
          <w:shd w:val="clear" w:color="auto" w:fill="FFFFFF"/>
        </w:rPr>
        <w:t xml:space="preserve">Zyra e Komisionerit po bashkëpunon me Ministrinë e Arsimit, Sportit dhe Rinisë që “Kuadri i aftësimit të mësuesve” të përfshihen në kurrikulën e arsimit 9-vjeçar. </w:t>
      </w:r>
    </w:p>
    <w:p w:rsidR="00D72DB6" w:rsidRPr="00D72DB6" w:rsidRDefault="00D72DB6" w:rsidP="00D72DB6">
      <w:pPr>
        <w:numPr>
          <w:ilvl w:val="0"/>
          <w:numId w:val="25"/>
        </w:numPr>
        <w:spacing w:after="120"/>
        <w:jc w:val="both"/>
        <w:rPr>
          <w:rFonts w:ascii="Times New Roman" w:hAnsi="Times New Roman"/>
          <w:b/>
          <w:sz w:val="24"/>
          <w:szCs w:val="24"/>
        </w:rPr>
      </w:pPr>
      <w:r w:rsidRPr="00D72DB6">
        <w:rPr>
          <w:rFonts w:ascii="Times New Roman" w:hAnsi="Times New Roman"/>
          <w:b/>
          <w:bCs/>
          <w:iCs/>
          <w:sz w:val="24"/>
          <w:szCs w:val="24"/>
        </w:rPr>
        <w:t>Vazhdimin e bashkëpunimit me organizmat ndërkombëtarë dhe shfrytëzimin e instrumenteve të ndryshëm për forcimin e kapaciteteve institucionale.</w:t>
      </w:r>
    </w:p>
    <w:p w:rsidR="00D72DB6" w:rsidRPr="00D72DB6" w:rsidRDefault="00D72DB6" w:rsidP="00D72DB6">
      <w:pPr>
        <w:spacing w:after="120"/>
        <w:jc w:val="both"/>
        <w:rPr>
          <w:rFonts w:ascii="Times New Roman" w:eastAsiaTheme="minorHAnsi" w:hAnsi="Times New Roman"/>
          <w:sz w:val="24"/>
          <w:szCs w:val="24"/>
        </w:rPr>
      </w:pPr>
      <w:r w:rsidRPr="00D72DB6">
        <w:rPr>
          <w:rFonts w:ascii="Times New Roman" w:hAnsi="Times New Roman"/>
          <w:sz w:val="24"/>
          <w:szCs w:val="24"/>
        </w:rPr>
        <w:t>Në kuadër të bashkëpunimit ndërkombëtar, Zyra e Komisionerit do të vijojë të kontribuojë nëpërmjet shkëmbimit të eksperiencës dhe praktikave më të mira, ashtu si dhe në nivel të koordinimit të iniciativave të përbashkëta. Autoriteti do të vijojë të luajë rol aktiv në forumet më të rëndësishme evropiane dhe ndërkombëtare në të cilat merr pjesë, si vijon:</w:t>
      </w:r>
    </w:p>
    <w:p w:rsidR="00D72DB6" w:rsidRPr="00D72DB6" w:rsidRDefault="00D72DB6" w:rsidP="00D72DB6">
      <w:pPr>
        <w:numPr>
          <w:ilvl w:val="0"/>
          <w:numId w:val="27"/>
        </w:numPr>
        <w:spacing w:after="120"/>
        <w:jc w:val="both"/>
        <w:rPr>
          <w:rFonts w:ascii="Times New Roman" w:hAnsi="Times New Roman"/>
          <w:sz w:val="24"/>
          <w:szCs w:val="24"/>
        </w:rPr>
      </w:pPr>
      <w:r w:rsidRPr="00D72DB6">
        <w:rPr>
          <w:rFonts w:ascii="Times New Roman" w:hAnsi="Times New Roman"/>
          <w:sz w:val="24"/>
          <w:szCs w:val="24"/>
        </w:rPr>
        <w:t>Në cilësinë e Anëtarit vëzhgues të Grupit të Punës së Nenit 29 (që nga 25 maj 2018, Bordi Evropian i Mbrojtjes së të Dhënave);</w:t>
      </w:r>
    </w:p>
    <w:p w:rsidR="00D72DB6" w:rsidRPr="00D72DB6" w:rsidRDefault="00D72DB6" w:rsidP="00D72DB6">
      <w:pPr>
        <w:numPr>
          <w:ilvl w:val="0"/>
          <w:numId w:val="27"/>
        </w:numPr>
        <w:spacing w:after="120"/>
        <w:jc w:val="both"/>
        <w:rPr>
          <w:rFonts w:ascii="Times New Roman" w:hAnsi="Times New Roman"/>
          <w:sz w:val="24"/>
          <w:szCs w:val="24"/>
        </w:rPr>
      </w:pPr>
      <w:r w:rsidRPr="00D72DB6">
        <w:rPr>
          <w:rFonts w:ascii="Times New Roman" w:hAnsi="Times New Roman"/>
          <w:sz w:val="24"/>
          <w:szCs w:val="24"/>
        </w:rPr>
        <w:t xml:space="preserve">Në cilësinë e Anëtarit të Komitetit Konsultativ të Konventës 108 (T-PD) dhe Komitetit </w:t>
      </w:r>
      <w:r w:rsidRPr="00D72DB6">
        <w:rPr>
          <w:rFonts w:ascii="Times New Roman" w:hAnsi="Times New Roman"/>
          <w:i/>
          <w:sz w:val="24"/>
          <w:szCs w:val="24"/>
        </w:rPr>
        <w:t>ad hoc</w:t>
      </w:r>
      <w:r w:rsidRPr="00D72DB6">
        <w:rPr>
          <w:rFonts w:ascii="Times New Roman" w:hAnsi="Times New Roman"/>
          <w:sz w:val="24"/>
          <w:szCs w:val="24"/>
        </w:rPr>
        <w:t xml:space="preserve"> për Mbrojtjen e të Dhënave CAHDATA të KiE-së;</w:t>
      </w:r>
    </w:p>
    <w:p w:rsidR="00D72DB6" w:rsidRPr="00D72DB6" w:rsidRDefault="00D72DB6" w:rsidP="00D72DB6">
      <w:pPr>
        <w:numPr>
          <w:ilvl w:val="0"/>
          <w:numId w:val="27"/>
        </w:numPr>
        <w:spacing w:after="120"/>
        <w:jc w:val="both"/>
        <w:rPr>
          <w:rFonts w:ascii="Times New Roman" w:hAnsi="Times New Roman"/>
          <w:sz w:val="24"/>
          <w:szCs w:val="24"/>
        </w:rPr>
      </w:pPr>
      <w:r w:rsidRPr="00D72DB6">
        <w:rPr>
          <w:rFonts w:ascii="Times New Roman" w:hAnsi="Times New Roman"/>
          <w:sz w:val="24"/>
          <w:szCs w:val="24"/>
        </w:rPr>
        <w:t>Në cilësinë e Anëtarit me të drejta të plota të Konferencës Ndërkombëtare të Komisionerëve të Mbrojtjes së të Dhënave dhe Privatësisë dhe të Anëtarit të Komitetit Ekzekutiv të saj;</w:t>
      </w:r>
    </w:p>
    <w:p w:rsidR="00D72DB6" w:rsidRPr="00D72DB6" w:rsidRDefault="00D72DB6" w:rsidP="00D72DB6">
      <w:pPr>
        <w:numPr>
          <w:ilvl w:val="0"/>
          <w:numId w:val="27"/>
        </w:numPr>
        <w:spacing w:after="120"/>
        <w:jc w:val="both"/>
        <w:rPr>
          <w:rFonts w:ascii="Times New Roman" w:hAnsi="Times New Roman"/>
          <w:sz w:val="24"/>
          <w:szCs w:val="24"/>
        </w:rPr>
      </w:pPr>
      <w:r w:rsidRPr="00D72DB6">
        <w:rPr>
          <w:rFonts w:ascii="Times New Roman" w:hAnsi="Times New Roman"/>
          <w:sz w:val="24"/>
          <w:szCs w:val="24"/>
        </w:rPr>
        <w:t>Në cilësinë e Anëtarit me të drejta të plota të Konferencës së Autoriteteve Evropiane të Mbrojtjes së të Dhënave dhe të Anëtarit të Komitetit të Suportit dhe Akreditimit të saj. Gjithashtu, në kuadër të këtij forumi, kontribut do të jepet edhe në grupet ad hoc të punës, sikurse në Grupin e Punës së Planifikimit Strategjik të Konferencës Evropiane dhe në Grupin e Punës për Mbrojtjen e të Dhënave në Veprimtarinë Humanitare;</w:t>
      </w:r>
    </w:p>
    <w:p w:rsidR="00D72DB6" w:rsidRPr="00D72DB6" w:rsidRDefault="00D72DB6" w:rsidP="00D72DB6">
      <w:pPr>
        <w:numPr>
          <w:ilvl w:val="0"/>
          <w:numId w:val="27"/>
        </w:numPr>
        <w:spacing w:after="120"/>
        <w:jc w:val="both"/>
        <w:rPr>
          <w:rFonts w:ascii="Times New Roman" w:hAnsi="Times New Roman"/>
          <w:sz w:val="24"/>
          <w:szCs w:val="24"/>
        </w:rPr>
      </w:pPr>
      <w:r w:rsidRPr="00D72DB6">
        <w:rPr>
          <w:rFonts w:ascii="Times New Roman" w:hAnsi="Times New Roman"/>
          <w:sz w:val="24"/>
          <w:szCs w:val="24"/>
        </w:rPr>
        <w:t>Në cilësinë e Anëtarit të Grupit Ndërkombëtar të Punës për Mbrojtjen e të Dhënave në Telekomunikacione (Grupi i Berlinit);</w:t>
      </w:r>
    </w:p>
    <w:p w:rsidR="00D72DB6" w:rsidRPr="00D72DB6" w:rsidRDefault="00D72DB6" w:rsidP="00D72DB6">
      <w:pPr>
        <w:numPr>
          <w:ilvl w:val="0"/>
          <w:numId w:val="27"/>
        </w:numPr>
        <w:spacing w:after="120"/>
        <w:jc w:val="both"/>
        <w:rPr>
          <w:rFonts w:ascii="Times New Roman" w:hAnsi="Times New Roman"/>
          <w:sz w:val="24"/>
          <w:szCs w:val="24"/>
        </w:rPr>
      </w:pPr>
      <w:r w:rsidRPr="00D72DB6">
        <w:rPr>
          <w:rFonts w:ascii="Times New Roman" w:hAnsi="Times New Roman"/>
          <w:sz w:val="24"/>
          <w:szCs w:val="24"/>
        </w:rPr>
        <w:t>Në cilësinë e Anëtarit me të drejta të plota të Shoqatës Frankofone të Autoriteteve të Mbrojtjes së të Dhënave Personale (AFAPDP);</w:t>
      </w:r>
    </w:p>
    <w:p w:rsidR="00D72DB6" w:rsidRPr="00D72DB6" w:rsidRDefault="00D72DB6" w:rsidP="00D72DB6">
      <w:pPr>
        <w:numPr>
          <w:ilvl w:val="0"/>
          <w:numId w:val="27"/>
        </w:numPr>
        <w:spacing w:after="120"/>
        <w:jc w:val="both"/>
        <w:rPr>
          <w:rFonts w:ascii="Times New Roman" w:hAnsi="Times New Roman"/>
          <w:sz w:val="24"/>
          <w:szCs w:val="24"/>
        </w:rPr>
      </w:pPr>
      <w:r w:rsidRPr="00D72DB6">
        <w:rPr>
          <w:rFonts w:ascii="Times New Roman" w:hAnsi="Times New Roman"/>
          <w:sz w:val="24"/>
          <w:szCs w:val="24"/>
        </w:rPr>
        <w:t>Në cilësinë e Anëtarit me të drejta të plota të Rrjetit të Autoriteteve të Mbrojtjes së të Dhënave të Evropës Qendrore dhe Lindore (CEEDPA);</w:t>
      </w:r>
    </w:p>
    <w:p w:rsidR="00D72DB6" w:rsidRPr="00D72DB6" w:rsidRDefault="00D72DB6" w:rsidP="00D72DB6">
      <w:pPr>
        <w:numPr>
          <w:ilvl w:val="0"/>
          <w:numId w:val="27"/>
        </w:numPr>
        <w:spacing w:after="120"/>
        <w:jc w:val="both"/>
        <w:rPr>
          <w:rFonts w:ascii="Times New Roman" w:hAnsi="Times New Roman"/>
          <w:sz w:val="24"/>
          <w:szCs w:val="24"/>
        </w:rPr>
      </w:pPr>
      <w:r w:rsidRPr="00D72DB6">
        <w:rPr>
          <w:rFonts w:ascii="Times New Roman" w:hAnsi="Times New Roman"/>
          <w:sz w:val="24"/>
          <w:szCs w:val="24"/>
        </w:rPr>
        <w:t>Në cilësinë e Anëtarit të Seminarit të Trajtimit të Praktikave (Case Handling Workshop);</w:t>
      </w:r>
    </w:p>
    <w:p w:rsidR="00D72DB6" w:rsidRPr="00D72DB6" w:rsidRDefault="00D72DB6" w:rsidP="00D72DB6">
      <w:pPr>
        <w:numPr>
          <w:ilvl w:val="0"/>
          <w:numId w:val="27"/>
        </w:numPr>
        <w:spacing w:after="120"/>
        <w:jc w:val="both"/>
        <w:rPr>
          <w:rFonts w:ascii="Times New Roman" w:hAnsi="Times New Roman"/>
          <w:sz w:val="24"/>
          <w:szCs w:val="24"/>
        </w:rPr>
      </w:pPr>
      <w:r w:rsidRPr="00D72DB6">
        <w:rPr>
          <w:rFonts w:ascii="Times New Roman" w:hAnsi="Times New Roman"/>
          <w:sz w:val="24"/>
          <w:szCs w:val="24"/>
        </w:rPr>
        <w:t>Në cilësinë e anëtarit të Rrjetit Global të Bashkëpunimit për Zbatimin e Ligjeve të Privatësisë (GPEN), etj.</w:t>
      </w:r>
    </w:p>
    <w:p w:rsidR="00D72DB6" w:rsidRPr="00D72DB6" w:rsidRDefault="00D72DB6" w:rsidP="00D72DB6">
      <w:pPr>
        <w:spacing w:after="120"/>
        <w:jc w:val="both"/>
        <w:rPr>
          <w:rFonts w:ascii="Times New Roman" w:hAnsi="Times New Roman"/>
          <w:sz w:val="24"/>
          <w:szCs w:val="24"/>
        </w:rPr>
      </w:pPr>
      <w:r w:rsidRPr="00D72DB6">
        <w:rPr>
          <w:rFonts w:ascii="Times New Roman" w:hAnsi="Times New Roman"/>
          <w:sz w:val="24"/>
          <w:szCs w:val="24"/>
        </w:rPr>
        <w:t xml:space="preserve">Për sa i përket shfrytëzimit të instrumenteve të ndryshëm për forcimin e kapaciteteve institucionale, Zyra e Komisionerit vijon bashkëpunimin me Instrumentin TAIEX të BE dhe Projektin JUFREX të KiE-së, në kuadër të të cilëve, gjatë vitit 2017 janë realizuar 1 Mision Ekspertësh dhe 1 Seminar.    </w:t>
      </w:r>
    </w:p>
    <w:p w:rsidR="00D72DB6" w:rsidRPr="00D72DB6" w:rsidRDefault="00D72DB6" w:rsidP="00D72DB6">
      <w:pPr>
        <w:numPr>
          <w:ilvl w:val="0"/>
          <w:numId w:val="25"/>
        </w:numPr>
        <w:spacing w:after="120"/>
        <w:jc w:val="both"/>
        <w:rPr>
          <w:rFonts w:ascii="Times New Roman" w:eastAsia="Times New Roman" w:hAnsi="Times New Roman"/>
          <w:b/>
          <w:sz w:val="24"/>
          <w:szCs w:val="24"/>
        </w:rPr>
      </w:pPr>
      <w:r w:rsidRPr="00D72DB6">
        <w:rPr>
          <w:rFonts w:ascii="Times New Roman" w:eastAsia="Times New Roman" w:hAnsi="Times New Roman"/>
          <w:b/>
          <w:sz w:val="24"/>
          <w:szCs w:val="24"/>
        </w:rPr>
        <w:t>Zhvillimin e regjistrit të të dhënave të Kontrolluesve si dhe krijimin e Regjistrit Kombëtar të kërkesave dhe përgjigjeve të Autoriteteve Publike.</w:t>
      </w:r>
    </w:p>
    <w:p w:rsidR="00D72DB6" w:rsidRPr="00D72DB6" w:rsidRDefault="00D72DB6" w:rsidP="00D72DB6">
      <w:pPr>
        <w:autoSpaceDE w:val="0"/>
        <w:autoSpaceDN w:val="0"/>
        <w:adjustRightInd w:val="0"/>
        <w:spacing w:after="0"/>
        <w:jc w:val="both"/>
        <w:rPr>
          <w:rFonts w:ascii="Times New Roman" w:hAnsi="Times New Roman"/>
          <w:sz w:val="24"/>
          <w:szCs w:val="24"/>
        </w:rPr>
      </w:pPr>
      <w:r w:rsidRPr="00D72DB6">
        <w:rPr>
          <w:rFonts w:ascii="Times New Roman" w:hAnsi="Times New Roman"/>
          <w:sz w:val="24"/>
          <w:szCs w:val="24"/>
        </w:rPr>
        <w:lastRenderedPageBreak/>
        <w:t>Në zbatim të këtij rekomandimi, janë hartuar;</w:t>
      </w:r>
    </w:p>
    <w:p w:rsidR="00D72DB6" w:rsidRPr="00D72DB6" w:rsidRDefault="00D72DB6" w:rsidP="00D72DB6">
      <w:pPr>
        <w:numPr>
          <w:ilvl w:val="0"/>
          <w:numId w:val="28"/>
        </w:numPr>
        <w:autoSpaceDE w:val="0"/>
        <w:autoSpaceDN w:val="0"/>
        <w:adjustRightInd w:val="0"/>
        <w:spacing w:after="0"/>
        <w:contextualSpacing/>
        <w:jc w:val="both"/>
        <w:rPr>
          <w:rFonts w:ascii="Times New Roman" w:hAnsi="Times New Roman"/>
          <w:sz w:val="24"/>
          <w:szCs w:val="24"/>
        </w:rPr>
      </w:pPr>
      <w:r w:rsidRPr="00D72DB6">
        <w:rPr>
          <w:rFonts w:ascii="Times New Roman" w:hAnsi="Times New Roman"/>
          <w:sz w:val="24"/>
          <w:szCs w:val="24"/>
        </w:rPr>
        <w:t xml:space="preserve"> Projekt/Vendimi “</w:t>
      </w:r>
      <w:r w:rsidRPr="00D72DB6">
        <w:rPr>
          <w:rFonts w:ascii="Times New Roman" w:hAnsi="Times New Roman"/>
          <w:i/>
          <w:sz w:val="24"/>
          <w:szCs w:val="24"/>
        </w:rPr>
        <w:t>Për</w:t>
      </w:r>
      <w:r w:rsidRPr="00D72DB6">
        <w:rPr>
          <w:rFonts w:ascii="Times New Roman" w:eastAsia="Times New Roman" w:hAnsi="Times New Roman"/>
          <w:bCs/>
          <w:i/>
          <w:sz w:val="24"/>
          <w:szCs w:val="24"/>
        </w:rPr>
        <w:t xml:space="preserve"> krijimin e bazës së të dhënave shtetërore të </w:t>
      </w:r>
      <w:r w:rsidRPr="00D72DB6">
        <w:rPr>
          <w:rFonts w:ascii="Times New Roman" w:eastAsia="Times New Roman" w:hAnsi="Times New Roman"/>
          <w:i/>
          <w:sz w:val="24"/>
          <w:szCs w:val="24"/>
        </w:rPr>
        <w:t>Regjistrit elektronik të kërkesave dhe përgjigjeve për të drejtën e informimit</w:t>
      </w:r>
      <w:r w:rsidRPr="00D72DB6">
        <w:rPr>
          <w:rFonts w:ascii="Times New Roman" w:eastAsia="Times New Roman" w:hAnsi="Times New Roman"/>
          <w:sz w:val="24"/>
          <w:szCs w:val="24"/>
        </w:rPr>
        <w:t>” dhe relacioni shpjegues, pritet miratimi nga Këshilli i Ministrave;</w:t>
      </w:r>
    </w:p>
    <w:p w:rsidR="00D72DB6" w:rsidRPr="00D72DB6" w:rsidRDefault="00D72DB6" w:rsidP="00D72DB6">
      <w:pPr>
        <w:numPr>
          <w:ilvl w:val="0"/>
          <w:numId w:val="28"/>
        </w:numPr>
        <w:autoSpaceDE w:val="0"/>
        <w:autoSpaceDN w:val="0"/>
        <w:adjustRightInd w:val="0"/>
        <w:spacing w:after="0"/>
        <w:contextualSpacing/>
        <w:jc w:val="both"/>
        <w:rPr>
          <w:rFonts w:ascii="Times New Roman" w:hAnsi="Times New Roman"/>
          <w:sz w:val="24"/>
          <w:szCs w:val="24"/>
        </w:rPr>
      </w:pPr>
      <w:r w:rsidRPr="00D72DB6">
        <w:rPr>
          <w:rFonts w:ascii="Times New Roman" w:hAnsi="Times New Roman"/>
          <w:sz w:val="24"/>
          <w:szCs w:val="24"/>
        </w:rPr>
        <w:t>Projekt/Vendimi</w:t>
      </w:r>
      <w:r w:rsidRPr="00D72DB6">
        <w:rPr>
          <w:rFonts w:ascii="Times New Roman" w:hAnsi="Times New Roman"/>
          <w:b/>
          <w:sz w:val="24"/>
          <w:szCs w:val="24"/>
        </w:rPr>
        <w:t xml:space="preserve"> </w:t>
      </w:r>
      <w:r w:rsidRPr="00D72DB6">
        <w:rPr>
          <w:rFonts w:ascii="Times New Roman" w:hAnsi="Times New Roman"/>
          <w:sz w:val="24"/>
          <w:szCs w:val="24"/>
        </w:rPr>
        <w:t>“</w:t>
      </w:r>
      <w:r w:rsidRPr="00D72DB6">
        <w:rPr>
          <w:rFonts w:ascii="Times New Roman" w:hAnsi="Times New Roman"/>
          <w:i/>
          <w:sz w:val="24"/>
          <w:szCs w:val="24"/>
        </w:rPr>
        <w:t>Për</w:t>
      </w:r>
      <w:r w:rsidRPr="00D72DB6">
        <w:rPr>
          <w:rFonts w:ascii="Times New Roman" w:eastAsia="Times New Roman" w:hAnsi="Times New Roman"/>
          <w:bCs/>
          <w:i/>
          <w:sz w:val="24"/>
          <w:szCs w:val="24"/>
        </w:rPr>
        <w:t xml:space="preserve"> krijimin e bazës së të dhënave shtetërore të </w:t>
      </w:r>
      <w:r w:rsidRPr="00D72DB6">
        <w:rPr>
          <w:rFonts w:ascii="Times New Roman" w:eastAsia="Times New Roman" w:hAnsi="Times New Roman"/>
          <w:i/>
          <w:sz w:val="24"/>
          <w:szCs w:val="24"/>
        </w:rPr>
        <w:t>Regjistrit elektronik të subjekteve kontrollues</w:t>
      </w:r>
      <w:r w:rsidRPr="00D72DB6">
        <w:rPr>
          <w:rFonts w:ascii="Times New Roman" w:eastAsia="Times New Roman" w:hAnsi="Times New Roman"/>
          <w:sz w:val="24"/>
          <w:szCs w:val="24"/>
        </w:rPr>
        <w:t xml:space="preserve">” dhe relacioni shpjegues, pritet miratimi nga Këshilli i Ministrave. </w:t>
      </w:r>
    </w:p>
    <w:p w:rsidR="00D72DB6" w:rsidRPr="00D72DB6" w:rsidRDefault="00D72DB6" w:rsidP="00D72DB6">
      <w:pPr>
        <w:autoSpaceDE w:val="0"/>
        <w:autoSpaceDN w:val="0"/>
        <w:adjustRightInd w:val="0"/>
        <w:spacing w:after="0"/>
        <w:ind w:left="720"/>
        <w:contextualSpacing/>
        <w:jc w:val="both"/>
        <w:rPr>
          <w:rFonts w:ascii="Times New Roman" w:hAnsi="Times New Roman"/>
          <w:sz w:val="24"/>
          <w:szCs w:val="24"/>
        </w:rPr>
      </w:pPr>
    </w:p>
    <w:p w:rsidR="00D72DB6" w:rsidRPr="00D72DB6" w:rsidRDefault="00D72DB6" w:rsidP="00D72DB6">
      <w:pPr>
        <w:pStyle w:val="ListParagraph"/>
        <w:numPr>
          <w:ilvl w:val="0"/>
          <w:numId w:val="24"/>
        </w:numPr>
        <w:ind w:left="284"/>
        <w:rPr>
          <w:rFonts w:ascii="Times New Roman" w:hAnsi="Times New Roman"/>
          <w:b/>
          <w:color w:val="0070C0"/>
          <w:sz w:val="24"/>
          <w:szCs w:val="24"/>
          <w:lang w:eastAsia="en-GB"/>
        </w:rPr>
      </w:pPr>
      <w:bookmarkStart w:id="45" w:name="_Toc506984748"/>
      <w:r w:rsidRPr="00D72DB6">
        <w:rPr>
          <w:rFonts w:ascii="Times New Roman" w:hAnsi="Times New Roman"/>
          <w:b/>
          <w:color w:val="0070C0"/>
          <w:sz w:val="24"/>
          <w:szCs w:val="24"/>
          <w:lang w:eastAsia="en-GB"/>
        </w:rPr>
        <w:t>Niveli i zbatueshmërisë së rekomandimeve të institucioneve të pavarura nga ekzekutivi gjatë periudhës së raportimit.</w:t>
      </w:r>
      <w:bookmarkEnd w:id="45"/>
    </w:p>
    <w:p w:rsidR="00D72DB6" w:rsidRPr="00D72DB6" w:rsidRDefault="00D72DB6" w:rsidP="00D72DB6">
      <w:pPr>
        <w:spacing w:after="0"/>
        <w:jc w:val="both"/>
        <w:rPr>
          <w:rFonts w:ascii="Times New Roman" w:hAnsi="Times New Roman"/>
          <w:sz w:val="24"/>
          <w:szCs w:val="24"/>
        </w:rPr>
      </w:pPr>
      <w:r w:rsidRPr="00D72DB6">
        <w:rPr>
          <w:rFonts w:ascii="Times New Roman" w:hAnsi="Times New Roman"/>
          <w:sz w:val="24"/>
          <w:szCs w:val="24"/>
        </w:rPr>
        <w:t xml:space="preserve">Gjatë vitit 2016, Komisioneri ka adresuar </w:t>
      </w:r>
      <w:r w:rsidRPr="00D72DB6">
        <w:rPr>
          <w:rFonts w:ascii="Times New Roman" w:hAnsi="Times New Roman"/>
          <w:b/>
          <w:sz w:val="24"/>
          <w:szCs w:val="24"/>
        </w:rPr>
        <w:t>10</w:t>
      </w:r>
      <w:r w:rsidRPr="00D72DB6">
        <w:rPr>
          <w:rFonts w:ascii="Times New Roman" w:hAnsi="Times New Roman"/>
          <w:sz w:val="24"/>
          <w:szCs w:val="24"/>
        </w:rPr>
        <w:t xml:space="preserve"> rekomandime për institucionet publike. </w:t>
      </w:r>
      <w:r w:rsidRPr="00D72DB6">
        <w:rPr>
          <w:rFonts w:ascii="Times New Roman" w:hAnsi="Times New Roman"/>
          <w:b/>
          <w:sz w:val="24"/>
          <w:szCs w:val="24"/>
        </w:rPr>
        <w:t>3</w:t>
      </w:r>
      <w:r w:rsidRPr="00D72DB6">
        <w:rPr>
          <w:rFonts w:ascii="Times New Roman" w:hAnsi="Times New Roman"/>
          <w:sz w:val="24"/>
          <w:szCs w:val="24"/>
        </w:rPr>
        <w:t xml:space="preserve"> rekomandime të standardit unifikues i drejtohen Ministrisë së Arsimit dhe Sportit, Ministrisë së Shëndetësisë si dhe Organeve të Vetëqeverisjes Vendore. </w:t>
      </w:r>
    </w:p>
    <w:p w:rsidR="00D72DB6" w:rsidRPr="00D72DB6" w:rsidRDefault="00D72DB6" w:rsidP="00D72DB6">
      <w:pPr>
        <w:spacing w:after="0"/>
        <w:jc w:val="both"/>
        <w:rPr>
          <w:rFonts w:ascii="Times New Roman" w:hAnsi="Times New Roman"/>
          <w:sz w:val="24"/>
          <w:szCs w:val="24"/>
        </w:rPr>
      </w:pPr>
      <w:r w:rsidRPr="00D72DB6">
        <w:rPr>
          <w:rFonts w:ascii="Times New Roman" w:hAnsi="Times New Roman"/>
          <w:sz w:val="24"/>
          <w:szCs w:val="24"/>
        </w:rPr>
        <w:t xml:space="preserve">Verifikimi i rekomandimeve dhënë kontrolluesve mbetet një angazhim i vazhdueshëm i Zyrës së Komisionerit. Për këtë periudhë raportimi Zyra e Komisionerit, është fokusuar në verifikimin e “Politikave të Privatësisë” në faqet online të kontrolluesve publikë dhe privatë. </w:t>
      </w:r>
    </w:p>
    <w:p w:rsidR="00D72DB6" w:rsidRPr="00D72DB6" w:rsidRDefault="00D72DB6" w:rsidP="00D72DB6">
      <w:pPr>
        <w:spacing w:after="0"/>
        <w:jc w:val="both"/>
        <w:rPr>
          <w:rFonts w:ascii="Times New Roman" w:hAnsi="Times New Roman"/>
          <w:sz w:val="24"/>
          <w:szCs w:val="24"/>
        </w:rPr>
      </w:pPr>
      <w:r w:rsidRPr="00D72DB6">
        <w:rPr>
          <w:rFonts w:ascii="Times New Roman" w:hAnsi="Times New Roman"/>
          <w:sz w:val="24"/>
          <w:szCs w:val="24"/>
        </w:rPr>
        <w:t>Është verifikuar përmbushja e rekomandimeve të pushtetit vendor për 61 njësi të vetëqeverisjes vendore të dhëna gjatë vitit 2016 (proces në vazhdim) si dhe nga Ministria e Shëndetësisë është dokumentuar përmbushja e rekomandimit të Komisionerit.</w:t>
      </w:r>
    </w:p>
    <w:p w:rsidR="00D72DB6" w:rsidRPr="00D72DB6" w:rsidRDefault="00D72DB6" w:rsidP="00D72DB6">
      <w:pPr>
        <w:spacing w:after="120"/>
        <w:jc w:val="both"/>
        <w:rPr>
          <w:rFonts w:ascii="Times New Roman" w:hAnsi="Times New Roman"/>
          <w:sz w:val="24"/>
          <w:szCs w:val="24"/>
        </w:rPr>
      </w:pPr>
      <w:r w:rsidRPr="00D72DB6">
        <w:rPr>
          <w:rFonts w:ascii="Times New Roman" w:hAnsi="Times New Roman"/>
          <w:sz w:val="24"/>
          <w:szCs w:val="24"/>
        </w:rPr>
        <w:t>Niveli i zbatueshmërisë të rekomandimeve të Zyrës së Komisionerit rezulton i kënaqshëm.</w:t>
      </w:r>
    </w:p>
    <w:p w:rsidR="00D72DB6" w:rsidRPr="00D72DB6" w:rsidRDefault="00D72DB6" w:rsidP="00D72DB6">
      <w:pPr>
        <w:pStyle w:val="ListParagraph"/>
        <w:numPr>
          <w:ilvl w:val="0"/>
          <w:numId w:val="24"/>
        </w:numPr>
        <w:ind w:left="284"/>
        <w:jc w:val="both"/>
        <w:rPr>
          <w:rFonts w:ascii="Times New Roman" w:hAnsi="Times New Roman"/>
          <w:b/>
          <w:color w:val="0070C0"/>
          <w:sz w:val="24"/>
          <w:szCs w:val="24"/>
          <w:lang w:eastAsia="en-GB"/>
        </w:rPr>
      </w:pPr>
      <w:bookmarkStart w:id="46" w:name="_Toc506984749"/>
      <w:r w:rsidRPr="00D72DB6">
        <w:rPr>
          <w:rFonts w:ascii="Times New Roman" w:hAnsi="Times New Roman"/>
          <w:b/>
          <w:color w:val="0070C0"/>
          <w:sz w:val="24"/>
          <w:szCs w:val="24"/>
          <w:lang w:eastAsia="en-GB"/>
        </w:rPr>
        <w:t>Pasqyrat financiare, audit i brendshëm dhe/ose i jashtëm, statusi i ankimeve gjyqësore, kallëzimet penale, plani i veprimit të institucionit, raport ose info mbi zbatimin e ligjit të shërbimit civil dhe eficencës së rritjes së kapaciteteve njerëzore në funksion të misionit të institucionit.</w:t>
      </w:r>
      <w:bookmarkEnd w:id="46"/>
    </w:p>
    <w:p w:rsidR="00D72DB6" w:rsidRPr="00D72DB6" w:rsidRDefault="00D72DB6" w:rsidP="00D72DB6">
      <w:pPr>
        <w:numPr>
          <w:ilvl w:val="0"/>
          <w:numId w:val="29"/>
        </w:numPr>
        <w:spacing w:after="0"/>
        <w:contextualSpacing/>
        <w:jc w:val="both"/>
        <w:rPr>
          <w:rFonts w:ascii="Times New Roman" w:eastAsiaTheme="minorEastAsia" w:hAnsi="Times New Roman"/>
          <w:b/>
          <w:sz w:val="24"/>
          <w:szCs w:val="24"/>
          <w:lang w:eastAsia="en-GB"/>
        </w:rPr>
      </w:pPr>
      <w:r w:rsidRPr="00D72DB6">
        <w:rPr>
          <w:rFonts w:ascii="Times New Roman" w:eastAsiaTheme="minorEastAsia" w:hAnsi="Times New Roman"/>
          <w:b/>
          <w:sz w:val="24"/>
          <w:szCs w:val="24"/>
          <w:lang w:eastAsia="en-GB"/>
        </w:rPr>
        <w:t>Audit i brendshëm dhe/ose i jashtëm</w:t>
      </w:r>
    </w:p>
    <w:p w:rsidR="00D72DB6" w:rsidRPr="00D72DB6" w:rsidRDefault="00D72DB6" w:rsidP="00D72DB6">
      <w:pPr>
        <w:jc w:val="both"/>
        <w:rPr>
          <w:rFonts w:ascii="Times New Roman" w:hAnsi="Times New Roman"/>
          <w:sz w:val="24"/>
          <w:szCs w:val="24"/>
        </w:rPr>
      </w:pPr>
      <w:r w:rsidRPr="00D72DB6">
        <w:rPr>
          <w:rFonts w:ascii="Times New Roman" w:hAnsi="Times New Roman"/>
          <w:sz w:val="24"/>
          <w:szCs w:val="24"/>
        </w:rPr>
        <w:t xml:space="preserve">Në strukturën e Zyrës së Komisionerit nuk ka njësi të auditit të brendshëm. Për vitin 2017, Zyra e Komisonerit nuk është përfshirë në planin e auditimit të Kontrollit të Lartë të Shtetit. </w:t>
      </w:r>
    </w:p>
    <w:p w:rsidR="00D72DB6" w:rsidRPr="00D72DB6" w:rsidRDefault="00D72DB6" w:rsidP="00D72DB6">
      <w:pPr>
        <w:numPr>
          <w:ilvl w:val="0"/>
          <w:numId w:val="29"/>
        </w:numPr>
        <w:spacing w:after="0"/>
        <w:contextualSpacing/>
        <w:jc w:val="both"/>
        <w:rPr>
          <w:rFonts w:ascii="Times New Roman" w:hAnsi="Times New Roman"/>
          <w:b/>
          <w:sz w:val="24"/>
          <w:szCs w:val="24"/>
        </w:rPr>
      </w:pPr>
      <w:r w:rsidRPr="00D72DB6">
        <w:rPr>
          <w:rFonts w:ascii="Times New Roman" w:eastAsiaTheme="minorEastAsia" w:hAnsi="Times New Roman"/>
          <w:b/>
          <w:sz w:val="24"/>
          <w:szCs w:val="24"/>
          <w:lang w:eastAsia="en-GB"/>
        </w:rPr>
        <w:t>Plani i veprimit të institucionit</w:t>
      </w:r>
    </w:p>
    <w:p w:rsidR="00D72DB6" w:rsidRPr="00D72DB6" w:rsidRDefault="00D72DB6" w:rsidP="00D72DB6">
      <w:pPr>
        <w:spacing w:after="120"/>
        <w:jc w:val="both"/>
        <w:rPr>
          <w:rFonts w:ascii="Times New Roman" w:hAnsi="Times New Roman"/>
          <w:i/>
          <w:sz w:val="24"/>
          <w:szCs w:val="24"/>
          <w:u w:val="single"/>
        </w:rPr>
      </w:pPr>
      <w:r w:rsidRPr="00D72DB6">
        <w:rPr>
          <w:rFonts w:ascii="Times New Roman" w:hAnsi="Times New Roman"/>
          <w:sz w:val="24"/>
          <w:szCs w:val="24"/>
        </w:rPr>
        <w:t xml:space="preserve">Publikuar në faqen zyrtare web të KDIMDP në linkun: </w:t>
      </w:r>
      <w:hyperlink r:id="rId68" w:history="1">
        <w:r w:rsidRPr="00D72DB6">
          <w:rPr>
            <w:rStyle w:val="Hyperlink"/>
            <w:rFonts w:ascii="Times New Roman" w:hAnsi="Times New Roman"/>
            <w:i/>
            <w:sz w:val="24"/>
            <w:szCs w:val="24"/>
          </w:rPr>
          <w:t>http://www.idp.al/wp-content/uploads/2017/02/Programi_i_punes_KDIMDP_2017.pdf</w:t>
        </w:r>
      </w:hyperlink>
    </w:p>
    <w:p w:rsidR="00D72DB6" w:rsidRPr="00D72DB6" w:rsidRDefault="00D72DB6" w:rsidP="00D72DB6">
      <w:pPr>
        <w:numPr>
          <w:ilvl w:val="0"/>
          <w:numId w:val="28"/>
        </w:numPr>
        <w:spacing w:after="0"/>
        <w:ind w:left="360"/>
        <w:contextualSpacing/>
        <w:jc w:val="both"/>
        <w:rPr>
          <w:rFonts w:ascii="Times New Roman" w:eastAsiaTheme="minorEastAsia" w:hAnsi="Times New Roman"/>
          <w:b/>
          <w:sz w:val="24"/>
          <w:szCs w:val="24"/>
          <w:lang w:eastAsia="en-GB"/>
        </w:rPr>
      </w:pPr>
      <w:r w:rsidRPr="00D72DB6">
        <w:rPr>
          <w:rFonts w:ascii="Times New Roman" w:eastAsiaTheme="minorEastAsia" w:hAnsi="Times New Roman"/>
          <w:b/>
          <w:sz w:val="24"/>
          <w:szCs w:val="24"/>
          <w:lang w:eastAsia="en-GB"/>
        </w:rPr>
        <w:t>Pasqyrat financiare</w:t>
      </w:r>
    </w:p>
    <w:p w:rsidR="00D72DB6" w:rsidRPr="00D72DB6" w:rsidRDefault="00D72DB6" w:rsidP="00D72DB6">
      <w:pPr>
        <w:spacing w:after="0"/>
        <w:jc w:val="both"/>
        <w:rPr>
          <w:rFonts w:ascii="Times New Roman" w:eastAsiaTheme="minorEastAsia" w:hAnsi="Times New Roman"/>
          <w:i/>
          <w:sz w:val="24"/>
          <w:szCs w:val="24"/>
          <w:lang w:eastAsia="en-GB"/>
        </w:rPr>
      </w:pPr>
    </w:p>
    <w:p w:rsidR="00D72DB6" w:rsidRPr="00D72DB6" w:rsidRDefault="00D72DB6" w:rsidP="00D72DB6">
      <w:pPr>
        <w:spacing w:after="120"/>
        <w:jc w:val="center"/>
        <w:rPr>
          <w:rFonts w:ascii="Times New Roman" w:eastAsia="Times New Roman" w:hAnsi="Times New Roman"/>
          <w:b/>
          <w:color w:val="244061"/>
          <w:sz w:val="24"/>
          <w:szCs w:val="24"/>
        </w:rPr>
      </w:pPr>
      <w:r w:rsidRPr="00D72DB6">
        <w:rPr>
          <w:rFonts w:ascii="Times New Roman" w:eastAsia="Times New Roman" w:hAnsi="Times New Roman"/>
          <w:b/>
          <w:color w:val="244061"/>
          <w:sz w:val="24"/>
          <w:szCs w:val="24"/>
        </w:rPr>
        <w:t>TABELA E AKORDIMIT TË BUXHETIT DHE REALIZIMIT</w:t>
      </w:r>
    </w:p>
    <w:p w:rsidR="00D72DB6" w:rsidRPr="00D72DB6" w:rsidRDefault="00D72DB6" w:rsidP="00D72DB6">
      <w:pPr>
        <w:spacing w:after="120"/>
        <w:ind w:left="1440" w:firstLine="720"/>
        <w:rPr>
          <w:rFonts w:ascii="Times New Roman" w:eastAsia="Times New Roman" w:hAnsi="Times New Roman"/>
          <w:b/>
          <w:color w:val="244061"/>
          <w:sz w:val="24"/>
          <w:szCs w:val="24"/>
        </w:rPr>
      </w:pPr>
      <w:r w:rsidRPr="00D72DB6">
        <w:rPr>
          <w:rFonts w:ascii="Times New Roman" w:eastAsia="Times New Roman" w:hAnsi="Times New Roman"/>
          <w:b/>
          <w:color w:val="244061"/>
          <w:sz w:val="24"/>
          <w:szCs w:val="24"/>
        </w:rPr>
        <w:t xml:space="preserve">VITI </w:t>
      </w:r>
      <w:r w:rsidRPr="00D72DB6">
        <w:rPr>
          <w:rFonts w:ascii="Times New Roman" w:eastAsia="Times New Roman" w:hAnsi="Times New Roman"/>
          <w:b/>
          <w:color w:val="244061"/>
          <w:sz w:val="24"/>
          <w:szCs w:val="24"/>
        </w:rPr>
        <w:tab/>
        <w:t>2017</w:t>
      </w:r>
      <w:r w:rsidRPr="00D72DB6">
        <w:rPr>
          <w:rFonts w:ascii="Times New Roman" w:eastAsia="Times New Roman" w:hAnsi="Times New Roman"/>
          <w:b/>
          <w:color w:val="215868"/>
          <w:sz w:val="24"/>
          <w:szCs w:val="24"/>
        </w:rPr>
        <w:tab/>
      </w:r>
      <w:r w:rsidRPr="00D72DB6">
        <w:rPr>
          <w:rFonts w:ascii="Times New Roman" w:eastAsia="Times New Roman" w:hAnsi="Times New Roman"/>
          <w:color w:val="215868"/>
          <w:sz w:val="24"/>
          <w:szCs w:val="24"/>
        </w:rPr>
        <w:tab/>
        <w:t xml:space="preserve">  </w:t>
      </w:r>
      <w:r w:rsidRPr="00D72DB6">
        <w:rPr>
          <w:rFonts w:ascii="Times New Roman" w:eastAsia="Times New Roman" w:hAnsi="Times New Roman"/>
          <w:color w:val="215868"/>
          <w:sz w:val="24"/>
          <w:szCs w:val="24"/>
        </w:rPr>
        <w:tab/>
        <w:t xml:space="preserve">    </w:t>
      </w:r>
      <w:r w:rsidRPr="00D72DB6">
        <w:rPr>
          <w:rFonts w:ascii="Times New Roman" w:eastAsia="Times New Roman" w:hAnsi="Times New Roman"/>
          <w:b/>
          <w:color w:val="244061"/>
          <w:sz w:val="24"/>
          <w:szCs w:val="24"/>
        </w:rPr>
        <w:t>000 / lekë</w:t>
      </w:r>
    </w:p>
    <w:tbl>
      <w:tblPr>
        <w:tblW w:w="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Layout w:type="fixed"/>
        <w:tblLook w:val="04A0"/>
      </w:tblPr>
      <w:tblGrid>
        <w:gridCol w:w="720"/>
        <w:gridCol w:w="2430"/>
        <w:gridCol w:w="1620"/>
        <w:gridCol w:w="1170"/>
        <w:gridCol w:w="1170"/>
        <w:gridCol w:w="1800"/>
      </w:tblGrid>
      <w:tr w:rsidR="00D72DB6" w:rsidRPr="00D72DB6" w:rsidTr="00D72DB6">
        <w:trPr>
          <w:trHeight w:val="933"/>
          <w:jc w:val="center"/>
        </w:trPr>
        <w:tc>
          <w:tcPr>
            <w:tcW w:w="720" w:type="dxa"/>
            <w:tcBorders>
              <w:top w:val="single" w:sz="4" w:space="0" w:color="FFFFFF"/>
              <w:left w:val="single" w:sz="4" w:space="0" w:color="FFFFFF"/>
              <w:bottom w:val="single" w:sz="4" w:space="0" w:color="FFFFFF"/>
              <w:right w:val="single" w:sz="4" w:space="0" w:color="FFFFFF"/>
            </w:tcBorders>
            <w:shd w:val="clear" w:color="auto" w:fill="DEEAF6"/>
            <w:hideMark/>
          </w:tcPr>
          <w:p w:rsidR="00D72DB6" w:rsidRPr="00D72DB6" w:rsidRDefault="00D72DB6">
            <w:pPr>
              <w:spacing w:before="120" w:after="0"/>
              <w:ind w:left="-15" w:firstLine="15"/>
              <w:rPr>
                <w:rFonts w:ascii="Times New Roman" w:eastAsia="Times New Roman" w:hAnsi="Times New Roman"/>
                <w:b/>
                <w:color w:val="000000"/>
                <w:sz w:val="24"/>
                <w:szCs w:val="24"/>
              </w:rPr>
            </w:pPr>
            <w:r w:rsidRPr="00D72DB6">
              <w:rPr>
                <w:rFonts w:ascii="Times New Roman" w:eastAsia="Times New Roman" w:hAnsi="Times New Roman"/>
                <w:b/>
                <w:color w:val="000000"/>
                <w:sz w:val="24"/>
                <w:szCs w:val="24"/>
              </w:rPr>
              <w:t>Nr.</w:t>
            </w:r>
          </w:p>
        </w:tc>
        <w:tc>
          <w:tcPr>
            <w:tcW w:w="2430" w:type="dxa"/>
            <w:tcBorders>
              <w:top w:val="single" w:sz="4" w:space="0" w:color="FFFFFF"/>
              <w:left w:val="single" w:sz="4" w:space="0" w:color="FFFFFF"/>
              <w:bottom w:val="single" w:sz="4" w:space="0" w:color="FFFFFF"/>
              <w:right w:val="single" w:sz="4" w:space="0" w:color="FFFFFF"/>
            </w:tcBorders>
            <w:shd w:val="clear" w:color="auto" w:fill="DEEAF6"/>
            <w:hideMark/>
          </w:tcPr>
          <w:p w:rsidR="00D72DB6" w:rsidRPr="00D72DB6" w:rsidRDefault="00D72DB6">
            <w:pPr>
              <w:spacing w:before="120" w:after="0"/>
              <w:rPr>
                <w:rFonts w:ascii="Times New Roman" w:eastAsia="Times New Roman" w:hAnsi="Times New Roman"/>
                <w:b/>
                <w:color w:val="000000"/>
                <w:sz w:val="24"/>
                <w:szCs w:val="24"/>
              </w:rPr>
            </w:pPr>
            <w:r w:rsidRPr="00D72DB6">
              <w:rPr>
                <w:rFonts w:ascii="Times New Roman" w:eastAsia="Times New Roman" w:hAnsi="Times New Roman"/>
                <w:b/>
                <w:color w:val="000000"/>
                <w:sz w:val="24"/>
                <w:szCs w:val="24"/>
              </w:rPr>
              <w:t>EMËRTIMI</w:t>
            </w:r>
          </w:p>
        </w:tc>
        <w:tc>
          <w:tcPr>
            <w:tcW w:w="1620" w:type="dxa"/>
            <w:tcBorders>
              <w:top w:val="single" w:sz="4" w:space="0" w:color="FFFFFF"/>
              <w:left w:val="single" w:sz="4" w:space="0" w:color="FFFFFF"/>
              <w:bottom w:val="single" w:sz="4" w:space="0" w:color="FFFFFF"/>
              <w:right w:val="single" w:sz="4" w:space="0" w:color="FFFFFF"/>
            </w:tcBorders>
            <w:shd w:val="clear" w:color="auto" w:fill="DEEAF6"/>
            <w:hideMark/>
          </w:tcPr>
          <w:p w:rsidR="00D72DB6" w:rsidRPr="00D72DB6" w:rsidRDefault="00D72DB6">
            <w:pPr>
              <w:spacing w:before="120" w:after="0"/>
              <w:rPr>
                <w:rFonts w:ascii="Times New Roman" w:eastAsia="Times New Roman" w:hAnsi="Times New Roman"/>
                <w:b/>
                <w:color w:val="000000"/>
                <w:sz w:val="24"/>
                <w:szCs w:val="24"/>
              </w:rPr>
            </w:pPr>
            <w:r w:rsidRPr="00D72DB6">
              <w:rPr>
                <w:rFonts w:ascii="Times New Roman" w:eastAsia="Times New Roman" w:hAnsi="Times New Roman"/>
                <w:b/>
                <w:color w:val="000000"/>
                <w:sz w:val="24"/>
                <w:szCs w:val="24"/>
              </w:rPr>
              <w:t>PLAN</w:t>
            </w:r>
          </w:p>
        </w:tc>
        <w:tc>
          <w:tcPr>
            <w:tcW w:w="1170" w:type="dxa"/>
            <w:tcBorders>
              <w:top w:val="single" w:sz="4" w:space="0" w:color="FFFFFF"/>
              <w:left w:val="single" w:sz="4" w:space="0" w:color="FFFFFF"/>
              <w:bottom w:val="single" w:sz="4" w:space="0" w:color="FFFFFF"/>
              <w:right w:val="single" w:sz="4" w:space="0" w:color="FFFFFF"/>
            </w:tcBorders>
            <w:shd w:val="clear" w:color="auto" w:fill="DEEAF6"/>
            <w:hideMark/>
          </w:tcPr>
          <w:p w:rsidR="00D72DB6" w:rsidRPr="00D72DB6" w:rsidRDefault="00D72DB6">
            <w:pPr>
              <w:spacing w:before="120" w:after="0"/>
              <w:rPr>
                <w:rFonts w:ascii="Times New Roman" w:eastAsia="Times New Roman" w:hAnsi="Times New Roman"/>
                <w:b/>
                <w:color w:val="000000"/>
                <w:sz w:val="24"/>
                <w:szCs w:val="24"/>
              </w:rPr>
            </w:pPr>
            <w:r w:rsidRPr="00D72DB6">
              <w:rPr>
                <w:rFonts w:ascii="Times New Roman" w:eastAsia="Times New Roman" w:hAnsi="Times New Roman"/>
                <w:b/>
                <w:color w:val="000000"/>
                <w:sz w:val="24"/>
                <w:szCs w:val="24"/>
              </w:rPr>
              <w:t>%</w:t>
            </w:r>
          </w:p>
          <w:p w:rsidR="00D72DB6" w:rsidRPr="00D72DB6" w:rsidRDefault="00D72DB6">
            <w:pPr>
              <w:spacing w:after="0"/>
              <w:rPr>
                <w:rFonts w:ascii="Times New Roman" w:eastAsia="Times New Roman" w:hAnsi="Times New Roman"/>
                <w:b/>
                <w:color w:val="000000"/>
                <w:sz w:val="24"/>
                <w:szCs w:val="24"/>
              </w:rPr>
            </w:pPr>
            <w:r w:rsidRPr="00D72DB6">
              <w:rPr>
                <w:rFonts w:ascii="Times New Roman" w:eastAsia="Times New Roman" w:hAnsi="Times New Roman"/>
                <w:b/>
                <w:color w:val="000000"/>
                <w:sz w:val="24"/>
                <w:szCs w:val="24"/>
              </w:rPr>
              <w:t>kundrejt totalit</w:t>
            </w:r>
          </w:p>
        </w:tc>
        <w:tc>
          <w:tcPr>
            <w:tcW w:w="1170" w:type="dxa"/>
            <w:tcBorders>
              <w:top w:val="single" w:sz="4" w:space="0" w:color="FFFFFF"/>
              <w:left w:val="single" w:sz="4" w:space="0" w:color="FFFFFF"/>
              <w:bottom w:val="single" w:sz="4" w:space="0" w:color="FFFFFF"/>
              <w:right w:val="single" w:sz="4" w:space="0" w:color="FFFFFF"/>
            </w:tcBorders>
            <w:shd w:val="clear" w:color="auto" w:fill="DEEAF6"/>
            <w:hideMark/>
          </w:tcPr>
          <w:p w:rsidR="00D72DB6" w:rsidRPr="00D72DB6" w:rsidRDefault="00D72DB6">
            <w:pPr>
              <w:spacing w:before="120" w:after="0"/>
              <w:rPr>
                <w:rFonts w:ascii="Times New Roman" w:eastAsia="Times New Roman" w:hAnsi="Times New Roman"/>
                <w:b/>
                <w:color w:val="000000"/>
                <w:sz w:val="24"/>
                <w:szCs w:val="24"/>
              </w:rPr>
            </w:pPr>
            <w:r w:rsidRPr="00D72DB6">
              <w:rPr>
                <w:rFonts w:ascii="Times New Roman" w:eastAsia="Times New Roman" w:hAnsi="Times New Roman"/>
                <w:b/>
                <w:color w:val="000000"/>
                <w:sz w:val="24"/>
                <w:szCs w:val="24"/>
              </w:rPr>
              <w:t>Fakt  12 mujor</w:t>
            </w:r>
          </w:p>
        </w:tc>
        <w:tc>
          <w:tcPr>
            <w:tcW w:w="1800" w:type="dxa"/>
            <w:tcBorders>
              <w:top w:val="single" w:sz="4" w:space="0" w:color="FFFFFF"/>
              <w:left w:val="single" w:sz="4" w:space="0" w:color="FFFFFF"/>
              <w:bottom w:val="single" w:sz="4" w:space="0" w:color="FFFFFF"/>
              <w:right w:val="single" w:sz="4" w:space="0" w:color="FFFFFF"/>
            </w:tcBorders>
            <w:shd w:val="clear" w:color="auto" w:fill="DEEAF6"/>
            <w:hideMark/>
          </w:tcPr>
          <w:p w:rsidR="00D72DB6" w:rsidRPr="00D72DB6" w:rsidRDefault="00D72DB6">
            <w:pPr>
              <w:spacing w:before="120" w:after="0"/>
              <w:rPr>
                <w:rFonts w:ascii="Times New Roman" w:eastAsia="Times New Roman" w:hAnsi="Times New Roman"/>
                <w:b/>
                <w:color w:val="000000"/>
                <w:sz w:val="24"/>
                <w:szCs w:val="24"/>
              </w:rPr>
            </w:pPr>
            <w:r w:rsidRPr="00D72DB6">
              <w:rPr>
                <w:rFonts w:ascii="Times New Roman" w:eastAsia="Times New Roman" w:hAnsi="Times New Roman"/>
                <w:b/>
                <w:color w:val="000000"/>
                <w:sz w:val="24"/>
                <w:szCs w:val="24"/>
              </w:rPr>
              <w:t xml:space="preserve">% realizimi kundrejt planit  vjetor </w:t>
            </w:r>
          </w:p>
        </w:tc>
      </w:tr>
      <w:tr w:rsidR="00D72DB6" w:rsidRPr="00D72DB6" w:rsidTr="00D72DB6">
        <w:trPr>
          <w:trHeight w:val="510"/>
          <w:jc w:val="center"/>
        </w:trPr>
        <w:tc>
          <w:tcPr>
            <w:tcW w:w="72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rPr>
                <w:rFonts w:ascii="Times New Roman" w:eastAsia="Times New Roman" w:hAnsi="Times New Roman"/>
                <w:color w:val="000000"/>
                <w:sz w:val="24"/>
                <w:szCs w:val="24"/>
              </w:rPr>
            </w:pPr>
            <w:r w:rsidRPr="00D72DB6">
              <w:rPr>
                <w:rFonts w:ascii="Times New Roman" w:eastAsia="Times New Roman" w:hAnsi="Times New Roman"/>
                <w:color w:val="000000"/>
                <w:sz w:val="24"/>
                <w:szCs w:val="24"/>
              </w:rPr>
              <w:t>1</w:t>
            </w:r>
          </w:p>
        </w:tc>
        <w:tc>
          <w:tcPr>
            <w:tcW w:w="243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rPr>
                <w:rFonts w:ascii="Times New Roman" w:eastAsia="Times New Roman" w:hAnsi="Times New Roman"/>
                <w:color w:val="000000"/>
                <w:sz w:val="24"/>
                <w:szCs w:val="24"/>
              </w:rPr>
            </w:pPr>
            <w:r w:rsidRPr="00D72DB6">
              <w:rPr>
                <w:rFonts w:ascii="Times New Roman" w:eastAsia="Times New Roman" w:hAnsi="Times New Roman"/>
                <w:color w:val="000000"/>
                <w:sz w:val="24"/>
                <w:szCs w:val="24"/>
              </w:rPr>
              <w:t>Paga</w:t>
            </w:r>
          </w:p>
        </w:tc>
        <w:tc>
          <w:tcPr>
            <w:tcW w:w="162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jc w:val="center"/>
              <w:rPr>
                <w:rFonts w:ascii="Times New Roman" w:hAnsi="Times New Roman"/>
                <w:sz w:val="24"/>
                <w:szCs w:val="24"/>
              </w:rPr>
            </w:pPr>
            <w:r w:rsidRPr="00D72DB6">
              <w:rPr>
                <w:rFonts w:ascii="Times New Roman" w:hAnsi="Times New Roman"/>
                <w:sz w:val="24"/>
                <w:szCs w:val="24"/>
              </w:rPr>
              <w:t>36700</w:t>
            </w:r>
          </w:p>
        </w:tc>
        <w:tc>
          <w:tcPr>
            <w:tcW w:w="117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jc w:val="center"/>
              <w:rPr>
                <w:rFonts w:ascii="Times New Roman" w:hAnsi="Times New Roman"/>
                <w:sz w:val="24"/>
                <w:szCs w:val="24"/>
              </w:rPr>
            </w:pPr>
            <w:r w:rsidRPr="00D72DB6">
              <w:rPr>
                <w:rFonts w:ascii="Times New Roman" w:hAnsi="Times New Roman"/>
                <w:sz w:val="24"/>
                <w:szCs w:val="24"/>
              </w:rPr>
              <w:t>55.9 %</w:t>
            </w:r>
          </w:p>
        </w:tc>
        <w:tc>
          <w:tcPr>
            <w:tcW w:w="117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jc w:val="center"/>
              <w:rPr>
                <w:rFonts w:ascii="Times New Roman" w:hAnsi="Times New Roman"/>
                <w:sz w:val="24"/>
                <w:szCs w:val="24"/>
              </w:rPr>
            </w:pPr>
            <w:r w:rsidRPr="00D72DB6">
              <w:rPr>
                <w:rFonts w:ascii="Times New Roman" w:hAnsi="Times New Roman"/>
                <w:sz w:val="24"/>
                <w:szCs w:val="24"/>
              </w:rPr>
              <w:t>35.917</w:t>
            </w:r>
          </w:p>
        </w:tc>
        <w:tc>
          <w:tcPr>
            <w:tcW w:w="180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jc w:val="center"/>
              <w:rPr>
                <w:rFonts w:ascii="Times New Roman" w:hAnsi="Times New Roman"/>
                <w:sz w:val="24"/>
                <w:szCs w:val="24"/>
              </w:rPr>
            </w:pPr>
            <w:r w:rsidRPr="00D72DB6">
              <w:rPr>
                <w:rFonts w:ascii="Times New Roman" w:hAnsi="Times New Roman"/>
                <w:sz w:val="24"/>
                <w:szCs w:val="24"/>
              </w:rPr>
              <w:t>97.8 %</w:t>
            </w:r>
          </w:p>
        </w:tc>
      </w:tr>
      <w:tr w:rsidR="00D72DB6" w:rsidRPr="00D72DB6" w:rsidTr="00D72DB6">
        <w:trPr>
          <w:trHeight w:val="510"/>
          <w:jc w:val="center"/>
        </w:trPr>
        <w:tc>
          <w:tcPr>
            <w:tcW w:w="72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rPr>
                <w:rFonts w:ascii="Times New Roman" w:eastAsia="Times New Roman" w:hAnsi="Times New Roman"/>
                <w:color w:val="000000"/>
                <w:sz w:val="24"/>
                <w:szCs w:val="24"/>
              </w:rPr>
            </w:pPr>
            <w:r w:rsidRPr="00D72DB6">
              <w:rPr>
                <w:rFonts w:ascii="Times New Roman" w:eastAsia="Times New Roman" w:hAnsi="Times New Roman"/>
                <w:color w:val="000000"/>
                <w:sz w:val="24"/>
                <w:szCs w:val="24"/>
              </w:rPr>
              <w:lastRenderedPageBreak/>
              <w:t>2</w:t>
            </w:r>
          </w:p>
        </w:tc>
        <w:tc>
          <w:tcPr>
            <w:tcW w:w="243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rPr>
                <w:rFonts w:ascii="Times New Roman" w:eastAsia="Times New Roman" w:hAnsi="Times New Roman"/>
                <w:color w:val="000000"/>
                <w:sz w:val="24"/>
                <w:szCs w:val="24"/>
              </w:rPr>
            </w:pPr>
            <w:r w:rsidRPr="00D72DB6">
              <w:rPr>
                <w:rFonts w:ascii="Times New Roman" w:eastAsia="Times New Roman" w:hAnsi="Times New Roman"/>
                <w:color w:val="000000"/>
                <w:sz w:val="24"/>
                <w:szCs w:val="24"/>
              </w:rPr>
              <w:t>Sigurime shoqërore</w:t>
            </w:r>
          </w:p>
        </w:tc>
        <w:tc>
          <w:tcPr>
            <w:tcW w:w="162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jc w:val="center"/>
              <w:rPr>
                <w:rFonts w:ascii="Times New Roman" w:hAnsi="Times New Roman"/>
                <w:sz w:val="24"/>
                <w:szCs w:val="24"/>
              </w:rPr>
            </w:pPr>
            <w:r w:rsidRPr="00D72DB6">
              <w:rPr>
                <w:rFonts w:ascii="Times New Roman" w:hAnsi="Times New Roman"/>
                <w:sz w:val="24"/>
                <w:szCs w:val="24"/>
              </w:rPr>
              <w:t>6400</w:t>
            </w:r>
          </w:p>
        </w:tc>
        <w:tc>
          <w:tcPr>
            <w:tcW w:w="117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jc w:val="center"/>
              <w:rPr>
                <w:rFonts w:ascii="Times New Roman" w:hAnsi="Times New Roman"/>
                <w:sz w:val="24"/>
                <w:szCs w:val="24"/>
              </w:rPr>
            </w:pPr>
            <w:r w:rsidRPr="00D72DB6">
              <w:rPr>
                <w:rFonts w:ascii="Times New Roman" w:hAnsi="Times New Roman"/>
                <w:sz w:val="24"/>
                <w:szCs w:val="24"/>
              </w:rPr>
              <w:t>9.7 %</w:t>
            </w:r>
          </w:p>
        </w:tc>
        <w:tc>
          <w:tcPr>
            <w:tcW w:w="117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jc w:val="center"/>
              <w:rPr>
                <w:rFonts w:ascii="Times New Roman" w:hAnsi="Times New Roman"/>
                <w:sz w:val="24"/>
                <w:szCs w:val="24"/>
              </w:rPr>
            </w:pPr>
            <w:r w:rsidRPr="00D72DB6">
              <w:rPr>
                <w:rFonts w:ascii="Times New Roman" w:hAnsi="Times New Roman"/>
                <w:sz w:val="24"/>
                <w:szCs w:val="24"/>
              </w:rPr>
              <w:t>5.742</w:t>
            </w:r>
          </w:p>
        </w:tc>
        <w:tc>
          <w:tcPr>
            <w:tcW w:w="180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jc w:val="center"/>
              <w:rPr>
                <w:rFonts w:ascii="Times New Roman" w:hAnsi="Times New Roman"/>
                <w:sz w:val="24"/>
                <w:szCs w:val="24"/>
              </w:rPr>
            </w:pPr>
            <w:r w:rsidRPr="00D72DB6">
              <w:rPr>
                <w:rFonts w:ascii="Times New Roman" w:hAnsi="Times New Roman"/>
                <w:sz w:val="24"/>
                <w:szCs w:val="24"/>
              </w:rPr>
              <w:t>89.7. %</w:t>
            </w:r>
          </w:p>
        </w:tc>
      </w:tr>
      <w:tr w:rsidR="00D72DB6" w:rsidRPr="00D72DB6" w:rsidTr="00D72DB6">
        <w:trPr>
          <w:trHeight w:val="510"/>
          <w:jc w:val="center"/>
        </w:trPr>
        <w:tc>
          <w:tcPr>
            <w:tcW w:w="72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rPr>
                <w:rFonts w:ascii="Times New Roman" w:eastAsia="Times New Roman" w:hAnsi="Times New Roman"/>
                <w:color w:val="000000"/>
                <w:sz w:val="24"/>
                <w:szCs w:val="24"/>
              </w:rPr>
            </w:pPr>
            <w:r w:rsidRPr="00D72DB6">
              <w:rPr>
                <w:rFonts w:ascii="Times New Roman" w:eastAsia="Times New Roman" w:hAnsi="Times New Roman"/>
                <w:color w:val="000000"/>
                <w:sz w:val="24"/>
                <w:szCs w:val="24"/>
              </w:rPr>
              <w:t>3</w:t>
            </w:r>
          </w:p>
        </w:tc>
        <w:tc>
          <w:tcPr>
            <w:tcW w:w="243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rPr>
                <w:rFonts w:ascii="Times New Roman" w:eastAsia="Times New Roman" w:hAnsi="Times New Roman"/>
                <w:color w:val="000000"/>
                <w:sz w:val="24"/>
                <w:szCs w:val="24"/>
              </w:rPr>
            </w:pPr>
            <w:r w:rsidRPr="00D72DB6">
              <w:rPr>
                <w:rFonts w:ascii="Times New Roman" w:eastAsia="Times New Roman" w:hAnsi="Times New Roman"/>
                <w:color w:val="000000"/>
                <w:sz w:val="24"/>
                <w:szCs w:val="24"/>
              </w:rPr>
              <w:t>Mallra e shërbime të tjera</w:t>
            </w:r>
          </w:p>
        </w:tc>
        <w:tc>
          <w:tcPr>
            <w:tcW w:w="162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jc w:val="center"/>
              <w:rPr>
                <w:rFonts w:ascii="Times New Roman" w:hAnsi="Times New Roman"/>
                <w:sz w:val="24"/>
                <w:szCs w:val="24"/>
              </w:rPr>
            </w:pPr>
            <w:r w:rsidRPr="00D72DB6">
              <w:rPr>
                <w:rFonts w:ascii="Times New Roman" w:hAnsi="Times New Roman"/>
                <w:sz w:val="24"/>
                <w:szCs w:val="24"/>
              </w:rPr>
              <w:t>19660</w:t>
            </w:r>
          </w:p>
        </w:tc>
        <w:tc>
          <w:tcPr>
            <w:tcW w:w="117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jc w:val="center"/>
              <w:rPr>
                <w:rFonts w:ascii="Times New Roman" w:hAnsi="Times New Roman"/>
                <w:sz w:val="24"/>
                <w:szCs w:val="24"/>
              </w:rPr>
            </w:pPr>
            <w:r w:rsidRPr="00D72DB6">
              <w:rPr>
                <w:rFonts w:ascii="Times New Roman" w:hAnsi="Times New Roman"/>
                <w:sz w:val="24"/>
                <w:szCs w:val="24"/>
              </w:rPr>
              <w:t>29.9%</w:t>
            </w:r>
          </w:p>
        </w:tc>
        <w:tc>
          <w:tcPr>
            <w:tcW w:w="117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jc w:val="center"/>
              <w:rPr>
                <w:rFonts w:ascii="Times New Roman" w:hAnsi="Times New Roman"/>
                <w:sz w:val="24"/>
                <w:szCs w:val="24"/>
              </w:rPr>
            </w:pPr>
            <w:r w:rsidRPr="00D72DB6">
              <w:rPr>
                <w:rFonts w:ascii="Times New Roman" w:hAnsi="Times New Roman"/>
                <w:sz w:val="24"/>
                <w:szCs w:val="24"/>
              </w:rPr>
              <w:t>19206</w:t>
            </w:r>
          </w:p>
        </w:tc>
        <w:tc>
          <w:tcPr>
            <w:tcW w:w="180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jc w:val="center"/>
              <w:rPr>
                <w:rFonts w:ascii="Times New Roman" w:hAnsi="Times New Roman"/>
                <w:sz w:val="24"/>
                <w:szCs w:val="24"/>
              </w:rPr>
            </w:pPr>
            <w:r w:rsidRPr="00D72DB6">
              <w:rPr>
                <w:rFonts w:ascii="Times New Roman" w:hAnsi="Times New Roman"/>
                <w:sz w:val="24"/>
                <w:szCs w:val="24"/>
              </w:rPr>
              <w:t>97.6%</w:t>
            </w:r>
          </w:p>
        </w:tc>
      </w:tr>
      <w:tr w:rsidR="00D72DB6" w:rsidRPr="00D72DB6" w:rsidTr="00D72DB6">
        <w:trPr>
          <w:trHeight w:val="510"/>
          <w:jc w:val="center"/>
        </w:trPr>
        <w:tc>
          <w:tcPr>
            <w:tcW w:w="72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rPr>
                <w:rFonts w:ascii="Times New Roman" w:eastAsia="Times New Roman" w:hAnsi="Times New Roman"/>
                <w:color w:val="000000"/>
                <w:sz w:val="24"/>
                <w:szCs w:val="24"/>
              </w:rPr>
            </w:pPr>
            <w:r w:rsidRPr="00D72DB6">
              <w:rPr>
                <w:rFonts w:ascii="Times New Roman" w:eastAsia="Times New Roman" w:hAnsi="Times New Roman"/>
                <w:color w:val="000000"/>
                <w:sz w:val="24"/>
                <w:szCs w:val="24"/>
              </w:rPr>
              <w:t>4</w:t>
            </w:r>
          </w:p>
        </w:tc>
        <w:tc>
          <w:tcPr>
            <w:tcW w:w="243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rPr>
                <w:rFonts w:ascii="Times New Roman" w:eastAsia="Times New Roman" w:hAnsi="Times New Roman"/>
                <w:color w:val="000000"/>
                <w:sz w:val="24"/>
                <w:szCs w:val="24"/>
              </w:rPr>
            </w:pPr>
            <w:r w:rsidRPr="00D72DB6">
              <w:rPr>
                <w:rFonts w:ascii="Times New Roman" w:eastAsia="Times New Roman" w:hAnsi="Times New Roman"/>
                <w:color w:val="000000"/>
                <w:sz w:val="24"/>
                <w:szCs w:val="24"/>
              </w:rPr>
              <w:t>Investime</w:t>
            </w:r>
          </w:p>
        </w:tc>
        <w:tc>
          <w:tcPr>
            <w:tcW w:w="162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jc w:val="center"/>
              <w:rPr>
                <w:rFonts w:ascii="Times New Roman" w:hAnsi="Times New Roman"/>
                <w:sz w:val="24"/>
                <w:szCs w:val="24"/>
              </w:rPr>
            </w:pPr>
            <w:r w:rsidRPr="00D72DB6">
              <w:rPr>
                <w:rFonts w:ascii="Times New Roman" w:hAnsi="Times New Roman"/>
                <w:sz w:val="24"/>
                <w:szCs w:val="24"/>
              </w:rPr>
              <w:t>2500</w:t>
            </w:r>
          </w:p>
        </w:tc>
        <w:tc>
          <w:tcPr>
            <w:tcW w:w="117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jc w:val="center"/>
              <w:rPr>
                <w:rFonts w:ascii="Times New Roman" w:hAnsi="Times New Roman"/>
                <w:sz w:val="24"/>
                <w:szCs w:val="24"/>
              </w:rPr>
            </w:pPr>
            <w:r w:rsidRPr="00D72DB6">
              <w:rPr>
                <w:rFonts w:ascii="Times New Roman" w:hAnsi="Times New Roman"/>
                <w:sz w:val="24"/>
                <w:szCs w:val="24"/>
              </w:rPr>
              <w:t>3.8. %</w:t>
            </w:r>
          </w:p>
        </w:tc>
        <w:tc>
          <w:tcPr>
            <w:tcW w:w="117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jc w:val="center"/>
              <w:rPr>
                <w:rFonts w:ascii="Times New Roman" w:hAnsi="Times New Roman"/>
                <w:sz w:val="24"/>
                <w:szCs w:val="24"/>
              </w:rPr>
            </w:pPr>
            <w:r w:rsidRPr="00D72DB6">
              <w:rPr>
                <w:rFonts w:ascii="Times New Roman" w:hAnsi="Times New Roman"/>
                <w:sz w:val="24"/>
                <w:szCs w:val="24"/>
              </w:rPr>
              <w:t>2.380</w:t>
            </w:r>
          </w:p>
        </w:tc>
        <w:tc>
          <w:tcPr>
            <w:tcW w:w="180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jc w:val="center"/>
              <w:rPr>
                <w:rFonts w:ascii="Times New Roman" w:hAnsi="Times New Roman"/>
                <w:sz w:val="24"/>
                <w:szCs w:val="24"/>
              </w:rPr>
            </w:pPr>
            <w:r w:rsidRPr="00D72DB6">
              <w:rPr>
                <w:rFonts w:ascii="Times New Roman" w:hAnsi="Times New Roman"/>
                <w:sz w:val="24"/>
                <w:szCs w:val="24"/>
              </w:rPr>
              <w:t>95 %</w:t>
            </w:r>
          </w:p>
        </w:tc>
      </w:tr>
      <w:tr w:rsidR="00D72DB6" w:rsidRPr="00D72DB6" w:rsidTr="00D72DB6">
        <w:trPr>
          <w:trHeight w:val="510"/>
          <w:jc w:val="center"/>
        </w:trPr>
        <w:tc>
          <w:tcPr>
            <w:tcW w:w="72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rPr>
                <w:rFonts w:ascii="Times New Roman" w:eastAsia="Times New Roman" w:hAnsi="Times New Roman"/>
                <w:color w:val="000000"/>
                <w:sz w:val="24"/>
                <w:szCs w:val="24"/>
              </w:rPr>
            </w:pPr>
            <w:r w:rsidRPr="00D72DB6">
              <w:rPr>
                <w:rFonts w:ascii="Times New Roman" w:eastAsia="Times New Roman" w:hAnsi="Times New Roman"/>
                <w:color w:val="000000"/>
                <w:sz w:val="24"/>
                <w:szCs w:val="24"/>
              </w:rPr>
              <w:t>5</w:t>
            </w:r>
          </w:p>
        </w:tc>
        <w:tc>
          <w:tcPr>
            <w:tcW w:w="243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rPr>
                <w:rFonts w:ascii="Times New Roman" w:eastAsia="Times New Roman" w:hAnsi="Times New Roman"/>
                <w:color w:val="000000"/>
                <w:sz w:val="24"/>
                <w:szCs w:val="24"/>
              </w:rPr>
            </w:pPr>
            <w:r w:rsidRPr="00D72DB6">
              <w:rPr>
                <w:rFonts w:ascii="Times New Roman" w:eastAsia="Times New Roman" w:hAnsi="Times New Roman"/>
                <w:color w:val="000000"/>
                <w:sz w:val="24"/>
                <w:szCs w:val="24"/>
              </w:rPr>
              <w:t>Transferta te buxhetet familjare</w:t>
            </w:r>
          </w:p>
        </w:tc>
        <w:tc>
          <w:tcPr>
            <w:tcW w:w="162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jc w:val="center"/>
              <w:rPr>
                <w:rFonts w:ascii="Times New Roman" w:hAnsi="Times New Roman"/>
                <w:sz w:val="24"/>
                <w:szCs w:val="24"/>
              </w:rPr>
            </w:pPr>
            <w:r w:rsidRPr="00D72DB6">
              <w:rPr>
                <w:rFonts w:ascii="Times New Roman" w:hAnsi="Times New Roman"/>
                <w:sz w:val="24"/>
                <w:szCs w:val="24"/>
              </w:rPr>
              <w:t>290</w:t>
            </w:r>
          </w:p>
        </w:tc>
        <w:tc>
          <w:tcPr>
            <w:tcW w:w="117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jc w:val="center"/>
              <w:rPr>
                <w:rFonts w:ascii="Times New Roman" w:hAnsi="Times New Roman"/>
                <w:sz w:val="24"/>
                <w:szCs w:val="24"/>
              </w:rPr>
            </w:pPr>
            <w:r w:rsidRPr="00D72DB6">
              <w:rPr>
                <w:rFonts w:ascii="Times New Roman" w:hAnsi="Times New Roman"/>
                <w:sz w:val="24"/>
                <w:szCs w:val="24"/>
              </w:rPr>
              <w:t>0.4%</w:t>
            </w:r>
          </w:p>
        </w:tc>
        <w:tc>
          <w:tcPr>
            <w:tcW w:w="117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jc w:val="center"/>
              <w:rPr>
                <w:rFonts w:ascii="Times New Roman" w:hAnsi="Times New Roman"/>
                <w:sz w:val="24"/>
                <w:szCs w:val="24"/>
              </w:rPr>
            </w:pPr>
            <w:r w:rsidRPr="00D72DB6">
              <w:rPr>
                <w:rFonts w:ascii="Times New Roman" w:hAnsi="Times New Roman"/>
                <w:sz w:val="24"/>
                <w:szCs w:val="24"/>
              </w:rPr>
              <w:t>290</w:t>
            </w:r>
          </w:p>
        </w:tc>
        <w:tc>
          <w:tcPr>
            <w:tcW w:w="180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jc w:val="center"/>
              <w:rPr>
                <w:rFonts w:ascii="Times New Roman" w:hAnsi="Times New Roman"/>
                <w:sz w:val="24"/>
                <w:szCs w:val="24"/>
              </w:rPr>
            </w:pPr>
            <w:r w:rsidRPr="00D72DB6">
              <w:rPr>
                <w:rFonts w:ascii="Times New Roman" w:hAnsi="Times New Roman"/>
                <w:sz w:val="24"/>
                <w:szCs w:val="24"/>
              </w:rPr>
              <w:t>100%</w:t>
            </w:r>
          </w:p>
        </w:tc>
      </w:tr>
      <w:tr w:rsidR="00D72DB6" w:rsidRPr="00D72DB6" w:rsidTr="00D72DB6">
        <w:trPr>
          <w:trHeight w:val="510"/>
          <w:jc w:val="center"/>
        </w:trPr>
        <w:tc>
          <w:tcPr>
            <w:tcW w:w="72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rPr>
                <w:rFonts w:ascii="Times New Roman" w:eastAsia="Times New Roman" w:hAnsi="Times New Roman"/>
                <w:color w:val="000000"/>
                <w:sz w:val="24"/>
                <w:szCs w:val="24"/>
              </w:rPr>
            </w:pPr>
            <w:r w:rsidRPr="00D72DB6">
              <w:rPr>
                <w:rFonts w:ascii="Times New Roman" w:eastAsia="Times New Roman" w:hAnsi="Times New Roman"/>
                <w:color w:val="000000"/>
                <w:sz w:val="24"/>
                <w:szCs w:val="24"/>
              </w:rPr>
              <w:t>6</w:t>
            </w:r>
          </w:p>
        </w:tc>
        <w:tc>
          <w:tcPr>
            <w:tcW w:w="243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rPr>
                <w:rFonts w:ascii="Times New Roman" w:eastAsia="Times New Roman" w:hAnsi="Times New Roman"/>
                <w:b/>
                <w:color w:val="000000"/>
                <w:sz w:val="24"/>
                <w:szCs w:val="24"/>
              </w:rPr>
            </w:pPr>
            <w:r w:rsidRPr="00D72DB6">
              <w:rPr>
                <w:rFonts w:ascii="Times New Roman" w:eastAsia="Times New Roman" w:hAnsi="Times New Roman"/>
                <w:b/>
                <w:color w:val="000000"/>
                <w:sz w:val="24"/>
                <w:szCs w:val="24"/>
              </w:rPr>
              <w:t>Kuotizacion</w:t>
            </w:r>
          </w:p>
        </w:tc>
        <w:tc>
          <w:tcPr>
            <w:tcW w:w="162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jc w:val="center"/>
              <w:rPr>
                <w:rFonts w:ascii="Times New Roman" w:hAnsi="Times New Roman"/>
                <w:sz w:val="24"/>
                <w:szCs w:val="24"/>
              </w:rPr>
            </w:pPr>
            <w:r w:rsidRPr="00D72DB6">
              <w:rPr>
                <w:rFonts w:ascii="Times New Roman" w:hAnsi="Times New Roman"/>
                <w:sz w:val="24"/>
                <w:szCs w:val="24"/>
              </w:rPr>
              <w:t>100</w:t>
            </w:r>
          </w:p>
        </w:tc>
        <w:tc>
          <w:tcPr>
            <w:tcW w:w="117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jc w:val="center"/>
              <w:rPr>
                <w:rFonts w:ascii="Times New Roman" w:hAnsi="Times New Roman"/>
                <w:sz w:val="24"/>
                <w:szCs w:val="24"/>
              </w:rPr>
            </w:pPr>
            <w:r w:rsidRPr="00D72DB6">
              <w:rPr>
                <w:rFonts w:ascii="Times New Roman" w:hAnsi="Times New Roman"/>
                <w:sz w:val="24"/>
                <w:szCs w:val="24"/>
              </w:rPr>
              <w:t>0.1%</w:t>
            </w:r>
          </w:p>
        </w:tc>
        <w:tc>
          <w:tcPr>
            <w:tcW w:w="117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jc w:val="center"/>
              <w:rPr>
                <w:rFonts w:ascii="Times New Roman" w:hAnsi="Times New Roman"/>
                <w:sz w:val="24"/>
                <w:szCs w:val="24"/>
              </w:rPr>
            </w:pPr>
            <w:r w:rsidRPr="00D72DB6">
              <w:rPr>
                <w:rFonts w:ascii="Times New Roman" w:hAnsi="Times New Roman"/>
                <w:sz w:val="24"/>
                <w:szCs w:val="24"/>
              </w:rPr>
              <w:t>83</w:t>
            </w:r>
          </w:p>
        </w:tc>
        <w:tc>
          <w:tcPr>
            <w:tcW w:w="180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jc w:val="center"/>
              <w:rPr>
                <w:rFonts w:ascii="Times New Roman" w:hAnsi="Times New Roman"/>
                <w:sz w:val="24"/>
                <w:szCs w:val="24"/>
              </w:rPr>
            </w:pPr>
            <w:r w:rsidRPr="00D72DB6">
              <w:rPr>
                <w:rFonts w:ascii="Times New Roman" w:hAnsi="Times New Roman"/>
                <w:sz w:val="24"/>
                <w:szCs w:val="24"/>
              </w:rPr>
              <w:t>83 %</w:t>
            </w:r>
          </w:p>
        </w:tc>
      </w:tr>
      <w:tr w:rsidR="00D72DB6" w:rsidRPr="00D72DB6" w:rsidTr="00D72DB6">
        <w:trPr>
          <w:trHeight w:val="510"/>
          <w:jc w:val="center"/>
        </w:trPr>
        <w:tc>
          <w:tcPr>
            <w:tcW w:w="720" w:type="dxa"/>
            <w:tcBorders>
              <w:top w:val="single" w:sz="4" w:space="0" w:color="FFFFFF"/>
              <w:left w:val="single" w:sz="4" w:space="0" w:color="FFFFFF"/>
              <w:bottom w:val="single" w:sz="4" w:space="0" w:color="FFFFFF"/>
              <w:right w:val="single" w:sz="4" w:space="0" w:color="FFFFFF"/>
            </w:tcBorders>
            <w:shd w:val="clear" w:color="auto" w:fill="DEEAF6"/>
            <w:vAlign w:val="center"/>
          </w:tcPr>
          <w:p w:rsidR="00D72DB6" w:rsidRPr="00D72DB6" w:rsidRDefault="00D72DB6">
            <w:pPr>
              <w:spacing w:after="0"/>
              <w:rPr>
                <w:rFonts w:ascii="Times New Roman" w:eastAsia="Times New Roman" w:hAnsi="Times New Roman"/>
                <w:b/>
                <w:color w:val="000000"/>
                <w:sz w:val="24"/>
                <w:szCs w:val="24"/>
              </w:rPr>
            </w:pPr>
          </w:p>
        </w:tc>
        <w:tc>
          <w:tcPr>
            <w:tcW w:w="243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rPr>
                <w:rFonts w:ascii="Times New Roman" w:eastAsia="Times New Roman" w:hAnsi="Times New Roman"/>
                <w:b/>
                <w:color w:val="000000"/>
                <w:sz w:val="24"/>
                <w:szCs w:val="24"/>
              </w:rPr>
            </w:pPr>
            <w:r w:rsidRPr="00D72DB6">
              <w:rPr>
                <w:rFonts w:ascii="Times New Roman" w:eastAsia="Times New Roman" w:hAnsi="Times New Roman"/>
                <w:b/>
                <w:color w:val="000000"/>
                <w:sz w:val="24"/>
                <w:szCs w:val="24"/>
              </w:rPr>
              <w:t>Totali</w:t>
            </w:r>
          </w:p>
        </w:tc>
        <w:tc>
          <w:tcPr>
            <w:tcW w:w="162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jc w:val="center"/>
              <w:rPr>
                <w:rFonts w:ascii="Times New Roman" w:eastAsia="Times New Roman" w:hAnsi="Times New Roman"/>
                <w:b/>
                <w:color w:val="000000"/>
                <w:sz w:val="24"/>
                <w:szCs w:val="24"/>
              </w:rPr>
            </w:pPr>
            <w:r w:rsidRPr="00D72DB6">
              <w:rPr>
                <w:rFonts w:ascii="Times New Roman" w:eastAsia="Times New Roman" w:hAnsi="Times New Roman"/>
                <w:b/>
                <w:color w:val="000000"/>
                <w:sz w:val="24"/>
                <w:szCs w:val="24"/>
              </w:rPr>
              <w:t>65.650</w:t>
            </w:r>
          </w:p>
        </w:tc>
        <w:tc>
          <w:tcPr>
            <w:tcW w:w="117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jc w:val="center"/>
              <w:rPr>
                <w:rFonts w:ascii="Times New Roman" w:eastAsia="Times New Roman" w:hAnsi="Times New Roman"/>
                <w:b/>
                <w:color w:val="000000"/>
                <w:sz w:val="24"/>
                <w:szCs w:val="24"/>
              </w:rPr>
            </w:pPr>
            <w:r w:rsidRPr="00D72DB6">
              <w:rPr>
                <w:rFonts w:ascii="Times New Roman" w:eastAsia="Times New Roman" w:hAnsi="Times New Roman"/>
                <w:b/>
                <w:color w:val="000000"/>
                <w:sz w:val="24"/>
                <w:szCs w:val="24"/>
              </w:rPr>
              <w:t>100%</w:t>
            </w:r>
          </w:p>
        </w:tc>
        <w:tc>
          <w:tcPr>
            <w:tcW w:w="117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jc w:val="center"/>
              <w:rPr>
                <w:rFonts w:ascii="Times New Roman" w:eastAsia="Times New Roman" w:hAnsi="Times New Roman"/>
                <w:b/>
                <w:color w:val="000000"/>
                <w:sz w:val="24"/>
                <w:szCs w:val="24"/>
              </w:rPr>
            </w:pPr>
            <w:r w:rsidRPr="00D72DB6">
              <w:rPr>
                <w:rFonts w:ascii="Times New Roman" w:eastAsia="Times New Roman" w:hAnsi="Times New Roman"/>
                <w:b/>
                <w:color w:val="000000"/>
                <w:sz w:val="24"/>
                <w:szCs w:val="24"/>
              </w:rPr>
              <w:t>63.618</w:t>
            </w:r>
          </w:p>
        </w:tc>
        <w:tc>
          <w:tcPr>
            <w:tcW w:w="1800" w:type="dxa"/>
            <w:tcBorders>
              <w:top w:val="single" w:sz="4" w:space="0" w:color="FFFFFF"/>
              <w:left w:val="single" w:sz="4" w:space="0" w:color="FFFFFF"/>
              <w:bottom w:val="single" w:sz="4" w:space="0" w:color="FFFFFF"/>
              <w:right w:val="single" w:sz="4" w:space="0" w:color="FFFFFF"/>
            </w:tcBorders>
            <w:shd w:val="clear" w:color="auto" w:fill="DEEAF6"/>
            <w:vAlign w:val="center"/>
            <w:hideMark/>
          </w:tcPr>
          <w:p w:rsidR="00D72DB6" w:rsidRPr="00D72DB6" w:rsidRDefault="00D72DB6">
            <w:pPr>
              <w:spacing w:after="0"/>
              <w:jc w:val="center"/>
              <w:rPr>
                <w:rFonts w:ascii="Times New Roman" w:eastAsia="Times New Roman" w:hAnsi="Times New Roman"/>
                <w:b/>
                <w:color w:val="000000"/>
                <w:sz w:val="24"/>
                <w:szCs w:val="24"/>
              </w:rPr>
            </w:pPr>
            <w:r w:rsidRPr="00D72DB6">
              <w:rPr>
                <w:rFonts w:ascii="Times New Roman" w:eastAsia="Times New Roman" w:hAnsi="Times New Roman"/>
                <w:b/>
                <w:color w:val="000000"/>
                <w:sz w:val="24"/>
                <w:szCs w:val="24"/>
              </w:rPr>
              <w:t>96.9 %</w:t>
            </w:r>
          </w:p>
        </w:tc>
      </w:tr>
    </w:tbl>
    <w:p w:rsidR="00D72DB6" w:rsidRPr="00D72DB6" w:rsidRDefault="00D72DB6" w:rsidP="00D72DB6">
      <w:pPr>
        <w:spacing w:after="0"/>
        <w:ind w:left="360"/>
        <w:contextualSpacing/>
        <w:jc w:val="both"/>
        <w:rPr>
          <w:rFonts w:ascii="Times New Roman" w:hAnsi="Times New Roman"/>
          <w:b/>
          <w:sz w:val="24"/>
          <w:szCs w:val="24"/>
        </w:rPr>
      </w:pPr>
    </w:p>
    <w:p w:rsidR="00D72DB6" w:rsidRPr="00D72DB6" w:rsidRDefault="00D72DB6" w:rsidP="00D72DB6">
      <w:pPr>
        <w:numPr>
          <w:ilvl w:val="0"/>
          <w:numId w:val="29"/>
        </w:numPr>
        <w:spacing w:after="0"/>
        <w:contextualSpacing/>
        <w:jc w:val="both"/>
        <w:rPr>
          <w:rFonts w:ascii="Times New Roman" w:hAnsi="Times New Roman"/>
          <w:b/>
          <w:sz w:val="24"/>
          <w:szCs w:val="24"/>
        </w:rPr>
      </w:pPr>
      <w:r w:rsidRPr="00D72DB6">
        <w:rPr>
          <w:rFonts w:ascii="Times New Roman" w:eastAsiaTheme="minorEastAsia" w:hAnsi="Times New Roman"/>
          <w:b/>
          <w:sz w:val="24"/>
          <w:szCs w:val="24"/>
          <w:lang w:eastAsia="en-GB"/>
        </w:rPr>
        <w:t>Statusi i ankimeve gjyqësore, kallëzimet penale</w:t>
      </w:r>
    </w:p>
    <w:p w:rsidR="00D72DB6" w:rsidRPr="00D72DB6" w:rsidRDefault="00D72DB6" w:rsidP="00D72DB6">
      <w:pPr>
        <w:tabs>
          <w:tab w:val="left" w:pos="360"/>
          <w:tab w:val="left" w:pos="3930"/>
        </w:tabs>
        <w:spacing w:after="0"/>
        <w:jc w:val="both"/>
        <w:rPr>
          <w:rFonts w:ascii="Times New Roman" w:hAnsi="Times New Roman"/>
          <w:sz w:val="24"/>
          <w:szCs w:val="24"/>
        </w:rPr>
      </w:pPr>
    </w:p>
    <w:p w:rsidR="00D72DB6" w:rsidRPr="00D72DB6" w:rsidRDefault="00D72DB6" w:rsidP="00D72DB6">
      <w:pPr>
        <w:tabs>
          <w:tab w:val="left" w:pos="360"/>
          <w:tab w:val="left" w:pos="3930"/>
        </w:tabs>
        <w:spacing w:after="120" w:line="360" w:lineRule="auto"/>
        <w:jc w:val="both"/>
        <w:rPr>
          <w:rFonts w:ascii="Times New Roman" w:hAnsi="Times New Roman"/>
          <w:sz w:val="24"/>
          <w:szCs w:val="24"/>
        </w:rPr>
      </w:pPr>
      <w:r w:rsidRPr="00D72DB6">
        <w:rPr>
          <w:rFonts w:ascii="Times New Roman" w:hAnsi="Times New Roman"/>
          <w:sz w:val="24"/>
          <w:szCs w:val="24"/>
        </w:rPr>
        <w:t xml:space="preserve">Komisioneri për vitin 2017 në respektim të ligjit nr. 119/2014 “Për të drejtën e informimit” është shprehur me 66 vendime, janë ankimuar 22, prej të cilave gjykata ka vendosur për 11 rrëzimin e padisë (lënien në fuqi të vendimeve të Komisionerit), 4 pranim të padisë, 5 pushimin e procesit gjyqësor, 1 revokim padie, 1 pranim të pjesshëm padie.  </w:t>
      </w:r>
    </w:p>
    <w:p w:rsidR="00D72DB6" w:rsidRPr="00D72DB6" w:rsidRDefault="00D72DB6" w:rsidP="00D72DB6">
      <w:pPr>
        <w:jc w:val="both"/>
        <w:rPr>
          <w:rFonts w:ascii="Times New Roman" w:hAnsi="Times New Roman"/>
          <w:sz w:val="24"/>
          <w:szCs w:val="24"/>
        </w:rPr>
      </w:pPr>
      <w:r w:rsidRPr="00D72DB6">
        <w:rPr>
          <w:rFonts w:ascii="Times New Roman" w:hAnsi="Times New Roman"/>
          <w:sz w:val="24"/>
          <w:szCs w:val="24"/>
        </w:rPr>
        <w:t>Komisioneri për vitin 2017 në respektim të ligjit nr. 9887/2008 “Për mbrojtjen e të dhënave Personale”, është shprehur me 22 vendime. Janë ankimuar 3 vendime dhe gjykata ka vendosur lënien në fuqi të tyre.</w:t>
      </w:r>
    </w:p>
    <w:p w:rsidR="00D72DB6" w:rsidRPr="00D72DB6" w:rsidRDefault="00D72DB6" w:rsidP="00D72DB6">
      <w:pPr>
        <w:spacing w:after="0" w:line="360" w:lineRule="auto"/>
        <w:jc w:val="both"/>
        <w:rPr>
          <w:rFonts w:ascii="Times New Roman" w:eastAsia="MS Mincho" w:hAnsi="Times New Roman"/>
          <w:sz w:val="24"/>
          <w:szCs w:val="24"/>
        </w:rPr>
      </w:pPr>
      <w:r w:rsidRPr="00D72DB6">
        <w:rPr>
          <w:rFonts w:ascii="Times New Roman" w:eastAsia="MS Mincho" w:hAnsi="Times New Roman"/>
          <w:sz w:val="24"/>
          <w:szCs w:val="24"/>
        </w:rPr>
        <w:t xml:space="preserve">Për shkak të ristrukturimit të Zyrës së Komsionerit në vitin 2015, janë ankimuar </w:t>
      </w:r>
      <w:r w:rsidRPr="00D72DB6">
        <w:rPr>
          <w:rFonts w:ascii="Times New Roman" w:eastAsia="MS Mincho" w:hAnsi="Times New Roman"/>
          <w:b/>
          <w:sz w:val="24"/>
          <w:szCs w:val="24"/>
        </w:rPr>
        <w:t>6</w:t>
      </w:r>
      <w:r w:rsidRPr="00D72DB6">
        <w:rPr>
          <w:rFonts w:ascii="Times New Roman" w:eastAsia="MS Mincho" w:hAnsi="Times New Roman"/>
          <w:sz w:val="24"/>
          <w:szCs w:val="24"/>
        </w:rPr>
        <w:t xml:space="preserve"> vendime, për të cilat janë ndjekur proçedurat përkatëse në dy shkallët e gjykimit administrativ. Për </w:t>
      </w:r>
      <w:r w:rsidRPr="00D72DB6">
        <w:rPr>
          <w:rFonts w:ascii="Times New Roman" w:eastAsia="MS Mincho" w:hAnsi="Times New Roman"/>
          <w:b/>
          <w:sz w:val="24"/>
          <w:szCs w:val="24"/>
        </w:rPr>
        <w:t>5</w:t>
      </w:r>
      <w:r w:rsidRPr="00D72DB6">
        <w:rPr>
          <w:rFonts w:ascii="Times New Roman" w:eastAsia="MS Mincho" w:hAnsi="Times New Roman"/>
          <w:sz w:val="24"/>
          <w:szCs w:val="24"/>
        </w:rPr>
        <w:t xml:space="preserve"> çështje janë lënë në fuqi vendimet e Njësisë Përgjegjëse dhe për </w:t>
      </w:r>
      <w:r w:rsidRPr="00D72DB6">
        <w:rPr>
          <w:rFonts w:ascii="Times New Roman" w:eastAsia="MS Mincho" w:hAnsi="Times New Roman"/>
          <w:b/>
          <w:sz w:val="24"/>
          <w:szCs w:val="24"/>
        </w:rPr>
        <w:t>1</w:t>
      </w:r>
      <w:r w:rsidRPr="00D72DB6">
        <w:rPr>
          <w:rFonts w:ascii="Times New Roman" w:eastAsia="MS Mincho" w:hAnsi="Times New Roman"/>
          <w:sz w:val="24"/>
          <w:szCs w:val="24"/>
        </w:rPr>
        <w:t xml:space="preserve"> çështje vijon proçesi</w:t>
      </w:r>
      <w:r w:rsidRPr="00D72DB6">
        <w:rPr>
          <w:rFonts w:ascii="Times New Roman" w:eastAsia="MS Mincho" w:hAnsi="Times New Roman"/>
          <w:b/>
          <w:sz w:val="24"/>
          <w:szCs w:val="24"/>
        </w:rPr>
        <w:t xml:space="preserve"> </w:t>
      </w:r>
      <w:r w:rsidRPr="00D72DB6">
        <w:rPr>
          <w:rFonts w:ascii="Times New Roman" w:eastAsia="MS Mincho" w:hAnsi="Times New Roman"/>
          <w:sz w:val="24"/>
          <w:szCs w:val="24"/>
        </w:rPr>
        <w:t xml:space="preserve">në Gjykatën Administrative të Apelit. Për asnjë rast nuk ka efekte financiare. </w:t>
      </w:r>
    </w:p>
    <w:p w:rsidR="00D72DB6" w:rsidRPr="00D72DB6" w:rsidRDefault="00D72DB6" w:rsidP="00D72DB6">
      <w:pPr>
        <w:spacing w:after="0"/>
        <w:jc w:val="both"/>
        <w:rPr>
          <w:rFonts w:ascii="Times New Roman" w:eastAsia="MS Mincho" w:hAnsi="Times New Roman"/>
          <w:sz w:val="24"/>
          <w:szCs w:val="24"/>
        </w:rPr>
      </w:pPr>
      <w:r w:rsidRPr="00D72DB6">
        <w:rPr>
          <w:rFonts w:ascii="Times New Roman" w:eastAsia="MS Mincho" w:hAnsi="Times New Roman"/>
          <w:sz w:val="24"/>
          <w:szCs w:val="24"/>
        </w:rPr>
        <w:t>Vijon ndjekja e ekzekutimit të vendimeve të Komisionerit dhe njëkohësisht edhe ndjekja e proceseve gjyqësore në Gjykatën e Apelit Administrativ, për çështje të mbartura.</w:t>
      </w:r>
    </w:p>
    <w:p w:rsidR="00D72DB6" w:rsidRPr="00D72DB6" w:rsidRDefault="00D72DB6" w:rsidP="00D72DB6">
      <w:pPr>
        <w:spacing w:after="0"/>
        <w:rPr>
          <w:rFonts w:ascii="Times New Roman" w:hAnsi="Times New Roman"/>
          <w:b/>
          <w:sz w:val="24"/>
          <w:szCs w:val="24"/>
        </w:rPr>
      </w:pPr>
    </w:p>
    <w:p w:rsidR="00D72DB6" w:rsidRPr="00D72DB6" w:rsidRDefault="00D72DB6" w:rsidP="00D72DB6">
      <w:pPr>
        <w:numPr>
          <w:ilvl w:val="0"/>
          <w:numId w:val="29"/>
        </w:numPr>
        <w:spacing w:after="240"/>
        <w:ind w:left="357" w:hanging="357"/>
        <w:jc w:val="both"/>
        <w:rPr>
          <w:rFonts w:ascii="Times New Roman" w:eastAsiaTheme="minorEastAsia" w:hAnsi="Times New Roman"/>
          <w:b/>
          <w:sz w:val="24"/>
          <w:szCs w:val="24"/>
          <w:lang w:eastAsia="en-GB"/>
        </w:rPr>
      </w:pPr>
      <w:r w:rsidRPr="00D72DB6">
        <w:rPr>
          <w:rFonts w:ascii="Times New Roman" w:eastAsiaTheme="minorEastAsia" w:hAnsi="Times New Roman"/>
          <w:b/>
          <w:sz w:val="24"/>
          <w:szCs w:val="24"/>
          <w:lang w:eastAsia="en-GB"/>
        </w:rPr>
        <w:t>Informacion mbi zbatimin e ligjit të shërbimit civil dhe eficencës së rritjes së kapaciteteve njerëzore në funksion të misionit të institucionit.</w:t>
      </w:r>
    </w:p>
    <w:p w:rsidR="00D72DB6" w:rsidRPr="00D72DB6" w:rsidRDefault="00D72DB6" w:rsidP="00D72DB6">
      <w:pPr>
        <w:spacing w:before="240" w:after="240"/>
        <w:jc w:val="both"/>
        <w:rPr>
          <w:rFonts w:ascii="Times New Roman" w:hAnsi="Times New Roman"/>
          <w:sz w:val="24"/>
          <w:szCs w:val="24"/>
        </w:rPr>
      </w:pPr>
      <w:r w:rsidRPr="00D72DB6">
        <w:rPr>
          <w:rFonts w:ascii="Times New Roman" w:hAnsi="Times New Roman"/>
          <w:sz w:val="24"/>
          <w:szCs w:val="24"/>
        </w:rPr>
        <w:t>Zyra e Komisionerit ka përmbushur detyrimet që burojnë nga ligji nr.152/2013 “Për nëpunësin Civil” dhe akteve nënligjore në zbatim të tij si dhe sipas Kodit të Punës për punonjësit mbështetës.</w:t>
      </w:r>
    </w:p>
    <w:p w:rsidR="00D72DB6" w:rsidRPr="00D72DB6" w:rsidRDefault="00D72DB6" w:rsidP="00D72DB6">
      <w:pPr>
        <w:numPr>
          <w:ilvl w:val="0"/>
          <w:numId w:val="30"/>
        </w:numPr>
        <w:spacing w:after="240"/>
        <w:ind w:left="448" w:hanging="357"/>
        <w:jc w:val="both"/>
        <w:rPr>
          <w:rFonts w:ascii="Times New Roman" w:hAnsi="Times New Roman"/>
          <w:sz w:val="24"/>
          <w:szCs w:val="24"/>
        </w:rPr>
      </w:pPr>
      <w:r w:rsidRPr="00D72DB6">
        <w:rPr>
          <w:rFonts w:ascii="Times New Roman" w:hAnsi="Times New Roman"/>
          <w:b/>
          <w:sz w:val="24"/>
          <w:szCs w:val="24"/>
        </w:rPr>
        <w:t>Rekrutimi në shërbimin civil</w:t>
      </w:r>
      <w:r w:rsidRPr="00D72DB6">
        <w:rPr>
          <w:rFonts w:ascii="Times New Roman" w:hAnsi="Times New Roman"/>
          <w:sz w:val="24"/>
          <w:szCs w:val="24"/>
        </w:rPr>
        <w:t xml:space="preserve"> </w:t>
      </w:r>
    </w:p>
    <w:p w:rsidR="00D72DB6" w:rsidRPr="00D72DB6" w:rsidRDefault="00D72DB6" w:rsidP="00D72DB6">
      <w:pPr>
        <w:jc w:val="both"/>
        <w:rPr>
          <w:rFonts w:ascii="Times New Roman" w:hAnsi="Times New Roman"/>
          <w:sz w:val="24"/>
          <w:szCs w:val="24"/>
        </w:rPr>
      </w:pPr>
      <w:r w:rsidRPr="00D72DB6">
        <w:rPr>
          <w:rFonts w:ascii="Times New Roman" w:hAnsi="Times New Roman"/>
          <w:sz w:val="24"/>
          <w:szCs w:val="24"/>
        </w:rPr>
        <w:t xml:space="preserve">Nëpërmjet strukturës përkatëse (Njësisë përgjegjëse)  janë mbikëqyrur dhe menaxhuar burimet njerëzore, duke respektuar  parimet  kryesore të këtij legjislacioni. </w:t>
      </w:r>
    </w:p>
    <w:p w:rsidR="00D72DB6" w:rsidRPr="00D72DB6" w:rsidRDefault="00D72DB6" w:rsidP="00D72DB6">
      <w:pPr>
        <w:spacing w:after="240"/>
        <w:jc w:val="both"/>
        <w:rPr>
          <w:rFonts w:ascii="Times New Roman" w:hAnsi="Times New Roman"/>
          <w:sz w:val="24"/>
          <w:szCs w:val="24"/>
        </w:rPr>
      </w:pPr>
      <w:r w:rsidRPr="00D72DB6">
        <w:rPr>
          <w:rFonts w:ascii="Times New Roman" w:hAnsi="Times New Roman"/>
          <w:sz w:val="24"/>
          <w:szCs w:val="24"/>
        </w:rPr>
        <w:lastRenderedPageBreak/>
        <w:t xml:space="preserve">Gjatë vitit 2017 janë shpallur 6 procedura rekrutimit, 2 prej të cilave kanë qenë të nivelit të ulët drejtues, ndërsa janë plotësuar pjesërisht pozicionet e lira, brenda ligjit për Shërbimin Civil, për pozicionet e nivelit ekzekutiv. </w:t>
      </w:r>
    </w:p>
    <w:p w:rsidR="00D72DB6" w:rsidRPr="00D72DB6" w:rsidRDefault="00D72DB6" w:rsidP="00D72DB6">
      <w:pPr>
        <w:numPr>
          <w:ilvl w:val="0"/>
          <w:numId w:val="30"/>
        </w:numPr>
        <w:spacing w:after="240"/>
        <w:ind w:left="448" w:hanging="357"/>
        <w:rPr>
          <w:rFonts w:ascii="Times New Roman" w:hAnsi="Times New Roman"/>
          <w:sz w:val="24"/>
          <w:szCs w:val="24"/>
        </w:rPr>
      </w:pPr>
      <w:r w:rsidRPr="00D72DB6">
        <w:rPr>
          <w:rFonts w:ascii="Times New Roman" w:hAnsi="Times New Roman"/>
          <w:b/>
          <w:sz w:val="24"/>
          <w:szCs w:val="24"/>
        </w:rPr>
        <w:t>Vlerësimi i rezultateve në punë për nëpunësit civilë</w:t>
      </w:r>
      <w:r w:rsidRPr="00D72DB6">
        <w:rPr>
          <w:rFonts w:ascii="Times New Roman" w:hAnsi="Times New Roman"/>
          <w:sz w:val="24"/>
          <w:szCs w:val="24"/>
        </w:rPr>
        <w:t xml:space="preserve"> </w:t>
      </w:r>
    </w:p>
    <w:p w:rsidR="00D72DB6" w:rsidRPr="00D72DB6" w:rsidRDefault="00D72DB6" w:rsidP="00D72DB6">
      <w:pPr>
        <w:jc w:val="both"/>
        <w:rPr>
          <w:rFonts w:ascii="Times New Roman" w:hAnsi="Times New Roman"/>
          <w:sz w:val="24"/>
          <w:szCs w:val="24"/>
        </w:rPr>
      </w:pPr>
      <w:r w:rsidRPr="00D72DB6">
        <w:rPr>
          <w:rFonts w:ascii="Times New Roman" w:hAnsi="Times New Roman"/>
          <w:sz w:val="24"/>
          <w:szCs w:val="24"/>
        </w:rPr>
        <w:t>Vlerësimi  i rezultateve në punë të punonjësve dhe procesi i vlerësimit të performancës së tyre, është kryer çdo 6 muaj.</w:t>
      </w:r>
    </w:p>
    <w:p w:rsidR="00D72DB6" w:rsidRPr="00D72DB6" w:rsidRDefault="00D72DB6" w:rsidP="00D72DB6">
      <w:pPr>
        <w:keepNext/>
        <w:keepLines/>
        <w:spacing w:before="240" w:after="0"/>
        <w:outlineLvl w:val="0"/>
        <w:rPr>
          <w:rFonts w:ascii="Times New Roman" w:eastAsiaTheme="majorEastAsia" w:hAnsi="Times New Roman"/>
          <w:color w:val="2E74B5" w:themeColor="accent1" w:themeShade="BF"/>
          <w:sz w:val="24"/>
          <w:szCs w:val="24"/>
        </w:rPr>
      </w:pPr>
      <w:bookmarkStart w:id="47" w:name="_Toc506984750"/>
    </w:p>
    <w:p w:rsidR="00D72DB6" w:rsidRPr="00D72DB6" w:rsidRDefault="00D72DB6" w:rsidP="00D72DB6">
      <w:pPr>
        <w:rPr>
          <w:rFonts w:ascii="Times New Roman" w:hAnsi="Times New Roman"/>
          <w:sz w:val="24"/>
          <w:szCs w:val="24"/>
        </w:rPr>
      </w:pPr>
    </w:p>
    <w:p w:rsidR="00D72DB6" w:rsidRPr="00D72DB6" w:rsidRDefault="00D72DB6" w:rsidP="00D72DB6">
      <w:pPr>
        <w:rPr>
          <w:rFonts w:ascii="Times New Roman" w:hAnsi="Times New Roman"/>
          <w:sz w:val="24"/>
          <w:szCs w:val="24"/>
        </w:rPr>
      </w:pPr>
    </w:p>
    <w:p w:rsidR="00D72DB6" w:rsidRPr="00D72DB6" w:rsidRDefault="00D72DB6" w:rsidP="00D72DB6">
      <w:pPr>
        <w:rPr>
          <w:rFonts w:ascii="Times New Roman" w:hAnsi="Times New Roman"/>
          <w:sz w:val="24"/>
          <w:szCs w:val="24"/>
        </w:rPr>
      </w:pPr>
    </w:p>
    <w:p w:rsidR="00D72DB6" w:rsidRPr="00D72DB6" w:rsidRDefault="00D72DB6" w:rsidP="00D72DB6">
      <w:pPr>
        <w:pStyle w:val="Heading1"/>
        <w:spacing w:after="240"/>
        <w:rPr>
          <w:rFonts w:ascii="Times New Roman" w:hAnsi="Times New Roman" w:cs="Times New Roman"/>
          <w:b/>
          <w:sz w:val="24"/>
          <w:szCs w:val="24"/>
        </w:rPr>
      </w:pPr>
      <w:bookmarkStart w:id="48" w:name="_Toc507424910"/>
      <w:r w:rsidRPr="00D72DB6">
        <w:rPr>
          <w:rFonts w:ascii="Times New Roman" w:hAnsi="Times New Roman" w:cs="Times New Roman"/>
          <w:b/>
          <w:sz w:val="24"/>
          <w:szCs w:val="24"/>
        </w:rPr>
        <w:t>ANEKSI 2</w:t>
      </w:r>
      <w:bookmarkEnd w:id="47"/>
      <w:bookmarkEnd w:id="48"/>
    </w:p>
    <w:p w:rsidR="00D72DB6" w:rsidRPr="00D72DB6" w:rsidRDefault="00D72DB6" w:rsidP="00D72DB6">
      <w:pPr>
        <w:spacing w:after="60"/>
        <w:jc w:val="both"/>
        <w:rPr>
          <w:rFonts w:ascii="Times New Roman" w:hAnsi="Times New Roman"/>
          <w:sz w:val="24"/>
          <w:szCs w:val="24"/>
        </w:rPr>
      </w:pPr>
      <w:r w:rsidRPr="00D72DB6">
        <w:rPr>
          <w:rFonts w:ascii="Times New Roman" w:hAnsi="Times New Roman"/>
          <w:sz w:val="24"/>
          <w:szCs w:val="24"/>
        </w:rPr>
        <w:t>Në referencë të kapitullit 4 “</w:t>
      </w:r>
      <w:r w:rsidRPr="00D72DB6">
        <w:rPr>
          <w:rFonts w:ascii="Times New Roman" w:hAnsi="Times New Roman"/>
          <w:i/>
          <w:sz w:val="24"/>
          <w:szCs w:val="24"/>
        </w:rPr>
        <w:t>Veprimtaria ligjore, procedurat administrative dhe gjyqësore</w:t>
      </w:r>
      <w:r w:rsidRPr="00D72DB6">
        <w:rPr>
          <w:rFonts w:ascii="Times New Roman" w:hAnsi="Times New Roman"/>
          <w:sz w:val="24"/>
          <w:szCs w:val="24"/>
        </w:rPr>
        <w:t xml:space="preserve">”, të raportit vjetor, gjatë vitit 2017 Zyra e Komisionerit ka dhënë mendim për projekt aktet si më poshtë: </w:t>
      </w:r>
    </w:p>
    <w:p w:rsidR="00D72DB6" w:rsidRPr="00D72DB6" w:rsidRDefault="00D72DB6" w:rsidP="00D72DB6">
      <w:pPr>
        <w:spacing w:after="60"/>
        <w:jc w:val="both"/>
        <w:rPr>
          <w:rFonts w:ascii="Times New Roman" w:hAnsi="Times New Roman"/>
          <w:sz w:val="24"/>
          <w:szCs w:val="24"/>
        </w:rPr>
      </w:pPr>
      <w:r w:rsidRPr="00D72DB6">
        <w:rPr>
          <w:rFonts w:ascii="Times New Roman" w:hAnsi="Times New Roman"/>
          <w:b/>
          <w:i/>
          <w:sz w:val="24"/>
          <w:szCs w:val="24"/>
        </w:rPr>
        <w:t>Projektligjin</w:t>
      </w:r>
      <w:r w:rsidRPr="00D72DB6">
        <w:rPr>
          <w:rFonts w:ascii="Times New Roman" w:hAnsi="Times New Roman"/>
          <w:b/>
          <w:sz w:val="24"/>
          <w:szCs w:val="24"/>
        </w:rPr>
        <w:t xml:space="preserve"> </w:t>
      </w:r>
      <w:r w:rsidRPr="00D72DB6">
        <w:rPr>
          <w:rFonts w:ascii="Times New Roman" w:hAnsi="Times New Roman"/>
          <w:sz w:val="24"/>
          <w:szCs w:val="24"/>
        </w:rPr>
        <w:t>“</w:t>
      </w:r>
      <w:r w:rsidRPr="00D72DB6">
        <w:rPr>
          <w:rFonts w:ascii="Times New Roman" w:hAnsi="Times New Roman"/>
          <w:i/>
          <w:sz w:val="24"/>
          <w:szCs w:val="24"/>
        </w:rPr>
        <w:t>Për mbrojtjen e pakicave kombëtare në Republikën e Shqipërisë</w:t>
      </w:r>
      <w:r w:rsidRPr="00D72DB6">
        <w:rPr>
          <w:rFonts w:ascii="Times New Roman" w:hAnsi="Times New Roman"/>
          <w:sz w:val="24"/>
          <w:szCs w:val="24"/>
        </w:rPr>
        <w:t>”, dërguar nga Kuvendi i Republikës së Shqipërisë;</w:t>
      </w:r>
    </w:p>
    <w:p w:rsidR="00D72DB6" w:rsidRPr="00D72DB6" w:rsidRDefault="00D72DB6" w:rsidP="00D72DB6">
      <w:pPr>
        <w:spacing w:after="60"/>
        <w:jc w:val="both"/>
        <w:rPr>
          <w:rFonts w:ascii="Times New Roman" w:hAnsi="Times New Roman"/>
          <w:bCs/>
          <w:sz w:val="24"/>
          <w:szCs w:val="24"/>
        </w:rPr>
      </w:pPr>
      <w:r w:rsidRPr="00D72DB6">
        <w:rPr>
          <w:rFonts w:ascii="Times New Roman" w:hAnsi="Times New Roman"/>
          <w:b/>
          <w:i/>
          <w:sz w:val="24"/>
          <w:szCs w:val="24"/>
        </w:rPr>
        <w:t>Projektligjin</w:t>
      </w:r>
      <w:r w:rsidRPr="00D72DB6">
        <w:rPr>
          <w:rFonts w:ascii="Times New Roman" w:hAnsi="Times New Roman"/>
          <w:sz w:val="24"/>
          <w:szCs w:val="24"/>
        </w:rPr>
        <w:t xml:space="preserve"> “</w:t>
      </w:r>
      <w:r w:rsidRPr="00D72DB6">
        <w:rPr>
          <w:rFonts w:ascii="Times New Roman" w:hAnsi="Times New Roman"/>
          <w:i/>
          <w:sz w:val="24"/>
          <w:szCs w:val="24"/>
        </w:rPr>
        <w:t>Për statistikat zyrtare</w:t>
      </w:r>
      <w:r w:rsidRPr="00D72DB6">
        <w:rPr>
          <w:rFonts w:ascii="Times New Roman" w:hAnsi="Times New Roman"/>
          <w:sz w:val="24"/>
          <w:szCs w:val="24"/>
        </w:rPr>
        <w:t>”</w:t>
      </w:r>
      <w:r w:rsidRPr="00D72DB6">
        <w:rPr>
          <w:rFonts w:ascii="Times New Roman" w:hAnsi="Times New Roman"/>
          <w:bCs/>
          <w:sz w:val="24"/>
          <w:szCs w:val="24"/>
        </w:rPr>
        <w:t>, dërguar nga Kryeministria;</w:t>
      </w:r>
    </w:p>
    <w:p w:rsidR="00D72DB6" w:rsidRPr="00D72DB6" w:rsidRDefault="00D72DB6" w:rsidP="00D72DB6">
      <w:pPr>
        <w:spacing w:after="60"/>
        <w:jc w:val="both"/>
        <w:rPr>
          <w:rFonts w:ascii="Times New Roman" w:hAnsi="Times New Roman"/>
          <w:i/>
          <w:sz w:val="24"/>
          <w:szCs w:val="24"/>
        </w:rPr>
      </w:pPr>
      <w:r w:rsidRPr="00D72DB6">
        <w:rPr>
          <w:rFonts w:ascii="Times New Roman" w:hAnsi="Times New Roman"/>
          <w:b/>
          <w:i/>
          <w:sz w:val="24"/>
          <w:szCs w:val="24"/>
        </w:rPr>
        <w:t xml:space="preserve">Projektvendimin </w:t>
      </w:r>
      <w:r w:rsidRPr="00D72DB6">
        <w:rPr>
          <w:rFonts w:ascii="Times New Roman" w:hAnsi="Times New Roman"/>
          <w:sz w:val="24"/>
          <w:szCs w:val="24"/>
        </w:rPr>
        <w:t>“</w:t>
      </w:r>
      <w:r w:rsidRPr="00D72DB6">
        <w:rPr>
          <w:rFonts w:ascii="Times New Roman" w:hAnsi="Times New Roman"/>
          <w:i/>
          <w:sz w:val="24"/>
          <w:szCs w:val="24"/>
        </w:rPr>
        <w:t>Për krijimin e bazës së të dhënave shtetërore për regjistrin elektronik shëndetësor kombëtar</w:t>
      </w:r>
      <w:r w:rsidRPr="00D72DB6">
        <w:rPr>
          <w:rFonts w:ascii="Times New Roman" w:hAnsi="Times New Roman"/>
          <w:sz w:val="24"/>
          <w:szCs w:val="24"/>
        </w:rPr>
        <w:t>”, dërguar nga Ministri i Shtetit për Marrëdhëniet me Parlamentin;</w:t>
      </w:r>
    </w:p>
    <w:p w:rsidR="00D72DB6" w:rsidRPr="00D72DB6" w:rsidRDefault="00D72DB6" w:rsidP="00D72DB6">
      <w:pPr>
        <w:spacing w:after="60"/>
        <w:jc w:val="both"/>
        <w:rPr>
          <w:rFonts w:ascii="Times New Roman" w:hAnsi="Times New Roman"/>
          <w:i/>
          <w:sz w:val="24"/>
          <w:szCs w:val="24"/>
        </w:rPr>
      </w:pPr>
      <w:r w:rsidRPr="00D72DB6">
        <w:rPr>
          <w:rFonts w:ascii="Times New Roman" w:hAnsi="Times New Roman"/>
          <w:b/>
          <w:i/>
          <w:sz w:val="24"/>
          <w:szCs w:val="24"/>
        </w:rPr>
        <w:t>Projektvendimin</w:t>
      </w:r>
      <w:r w:rsidRPr="00D72DB6">
        <w:rPr>
          <w:rFonts w:ascii="Times New Roman" w:hAnsi="Times New Roman"/>
          <w:b/>
          <w:sz w:val="24"/>
          <w:szCs w:val="24"/>
        </w:rPr>
        <w:t xml:space="preserve"> </w:t>
      </w:r>
      <w:r w:rsidRPr="00D72DB6">
        <w:rPr>
          <w:rFonts w:ascii="Times New Roman" w:hAnsi="Times New Roman"/>
          <w:sz w:val="24"/>
          <w:szCs w:val="24"/>
        </w:rPr>
        <w:t>“</w:t>
      </w:r>
      <w:r w:rsidRPr="00D72DB6">
        <w:rPr>
          <w:rFonts w:ascii="Times New Roman" w:hAnsi="Times New Roman"/>
          <w:i/>
          <w:sz w:val="24"/>
          <w:szCs w:val="24"/>
        </w:rPr>
        <w:t>Për krijimin e bazës së të dhënave shtetërore Arkiva Dixhitale e Arkivit Qëndror Teknik të Ndërtimit</w:t>
      </w:r>
      <w:r w:rsidRPr="00D72DB6">
        <w:rPr>
          <w:rFonts w:ascii="Times New Roman" w:hAnsi="Times New Roman"/>
          <w:sz w:val="24"/>
          <w:szCs w:val="24"/>
        </w:rPr>
        <w:t>”, dërguar nga Ministria e Zhvillimit Urban;</w:t>
      </w:r>
    </w:p>
    <w:p w:rsidR="00D72DB6" w:rsidRPr="00D72DB6" w:rsidRDefault="00D72DB6" w:rsidP="00D72DB6">
      <w:pPr>
        <w:spacing w:after="60"/>
        <w:jc w:val="both"/>
        <w:rPr>
          <w:rFonts w:ascii="Times New Roman" w:hAnsi="Times New Roman"/>
          <w:i/>
          <w:sz w:val="24"/>
          <w:szCs w:val="24"/>
        </w:rPr>
      </w:pPr>
      <w:r w:rsidRPr="00D72DB6">
        <w:rPr>
          <w:rFonts w:ascii="Times New Roman" w:hAnsi="Times New Roman"/>
          <w:b/>
          <w:i/>
          <w:sz w:val="24"/>
          <w:szCs w:val="24"/>
        </w:rPr>
        <w:t>Projektvendimin</w:t>
      </w:r>
      <w:r w:rsidRPr="00D72DB6">
        <w:rPr>
          <w:rFonts w:ascii="Times New Roman" w:hAnsi="Times New Roman"/>
          <w:b/>
          <w:sz w:val="24"/>
          <w:szCs w:val="24"/>
        </w:rPr>
        <w:t xml:space="preserve"> </w:t>
      </w:r>
      <w:r w:rsidRPr="00D72DB6">
        <w:rPr>
          <w:rFonts w:ascii="Times New Roman" w:hAnsi="Times New Roman"/>
          <w:sz w:val="24"/>
          <w:szCs w:val="24"/>
        </w:rPr>
        <w:t>“</w:t>
      </w:r>
      <w:r w:rsidRPr="00D72DB6">
        <w:rPr>
          <w:rFonts w:ascii="Times New Roman" w:hAnsi="Times New Roman"/>
          <w:i/>
          <w:sz w:val="24"/>
          <w:szCs w:val="24"/>
        </w:rPr>
        <w:t>Për përcaktimin e rregullave të bashkëpunimit ndërmjet administratorëve të ndërtesave të banimit, njësive administrative vendore dhe Policisë së Shtetit</w:t>
      </w:r>
      <w:r w:rsidRPr="00D72DB6">
        <w:rPr>
          <w:rFonts w:ascii="Times New Roman" w:hAnsi="Times New Roman"/>
          <w:sz w:val="24"/>
          <w:szCs w:val="24"/>
        </w:rPr>
        <w:t xml:space="preserve">”, dërguar nga Ministria e Brendshme; </w:t>
      </w:r>
    </w:p>
    <w:p w:rsidR="00D72DB6" w:rsidRPr="00D72DB6" w:rsidRDefault="00D72DB6" w:rsidP="00D72DB6">
      <w:pPr>
        <w:spacing w:after="60"/>
        <w:jc w:val="both"/>
        <w:rPr>
          <w:rFonts w:ascii="Times New Roman" w:hAnsi="Times New Roman"/>
          <w:sz w:val="24"/>
          <w:szCs w:val="24"/>
        </w:rPr>
      </w:pPr>
      <w:r w:rsidRPr="00D72DB6">
        <w:rPr>
          <w:rFonts w:ascii="Times New Roman" w:hAnsi="Times New Roman"/>
          <w:b/>
          <w:i/>
          <w:sz w:val="24"/>
          <w:szCs w:val="24"/>
        </w:rPr>
        <w:t>Projektvendimin</w:t>
      </w:r>
      <w:r w:rsidRPr="00D72DB6">
        <w:rPr>
          <w:rFonts w:ascii="Times New Roman" w:hAnsi="Times New Roman"/>
          <w:i/>
          <w:sz w:val="24"/>
          <w:szCs w:val="24"/>
        </w:rPr>
        <w:t xml:space="preserve"> “Për krijimin e bazës së të dhënave të Regjistrit Kombëtar të Gjendjes Civile</w:t>
      </w:r>
      <w:r w:rsidRPr="00D72DB6">
        <w:rPr>
          <w:rFonts w:ascii="Times New Roman" w:hAnsi="Times New Roman"/>
          <w:sz w:val="24"/>
          <w:szCs w:val="24"/>
        </w:rPr>
        <w:t>”, dërguar nga Ministria e Brendshme;</w:t>
      </w:r>
    </w:p>
    <w:p w:rsidR="00D72DB6" w:rsidRPr="00D72DB6" w:rsidRDefault="00D72DB6" w:rsidP="00D72DB6">
      <w:pPr>
        <w:spacing w:after="60"/>
        <w:jc w:val="both"/>
        <w:rPr>
          <w:rFonts w:ascii="Times New Roman" w:hAnsi="Times New Roman"/>
          <w:sz w:val="24"/>
          <w:szCs w:val="24"/>
        </w:rPr>
      </w:pPr>
      <w:r w:rsidRPr="00D72DB6">
        <w:rPr>
          <w:rFonts w:ascii="Times New Roman" w:hAnsi="Times New Roman"/>
          <w:b/>
          <w:i/>
          <w:sz w:val="24"/>
          <w:szCs w:val="24"/>
        </w:rPr>
        <w:t>Projektvendimin</w:t>
      </w:r>
      <w:r w:rsidRPr="00D72DB6">
        <w:rPr>
          <w:rFonts w:ascii="Times New Roman" w:hAnsi="Times New Roman"/>
          <w:sz w:val="24"/>
          <w:szCs w:val="24"/>
        </w:rPr>
        <w:t xml:space="preserve"> “</w:t>
      </w:r>
      <w:r w:rsidRPr="00D72DB6">
        <w:rPr>
          <w:rFonts w:ascii="Times New Roman" w:hAnsi="Times New Roman"/>
          <w:i/>
          <w:sz w:val="24"/>
          <w:szCs w:val="24"/>
        </w:rPr>
        <w:t>Për përcaktimin e tarifave e pagesave për shërbimet ndaj institucioneve apo personave që ofrohen nga Autoriteti për Informimin mbi dokumentet e Ish-Sigurimit të Shtetit</w:t>
      </w:r>
      <w:r w:rsidRPr="00D72DB6">
        <w:rPr>
          <w:rFonts w:ascii="Times New Roman" w:hAnsi="Times New Roman"/>
          <w:sz w:val="24"/>
          <w:szCs w:val="24"/>
        </w:rPr>
        <w:t>”, dërguar nga Ministria e Financave dhe Ekonomisë;</w:t>
      </w:r>
    </w:p>
    <w:p w:rsidR="00D72DB6" w:rsidRPr="00D72DB6" w:rsidRDefault="00D72DB6" w:rsidP="00D72DB6">
      <w:pPr>
        <w:spacing w:after="60"/>
        <w:jc w:val="both"/>
        <w:rPr>
          <w:rFonts w:ascii="Times New Roman" w:hAnsi="Times New Roman"/>
          <w:sz w:val="24"/>
          <w:szCs w:val="24"/>
        </w:rPr>
      </w:pPr>
      <w:r w:rsidRPr="00D72DB6">
        <w:rPr>
          <w:rFonts w:ascii="Times New Roman" w:hAnsi="Times New Roman"/>
          <w:b/>
          <w:i/>
          <w:sz w:val="24"/>
          <w:szCs w:val="24"/>
        </w:rPr>
        <w:t>Projektvendimin</w:t>
      </w:r>
      <w:r w:rsidRPr="00D72DB6">
        <w:rPr>
          <w:rFonts w:ascii="Times New Roman" w:hAnsi="Times New Roman"/>
          <w:sz w:val="24"/>
          <w:szCs w:val="24"/>
        </w:rPr>
        <w:t xml:space="preserve"> “</w:t>
      </w:r>
      <w:r w:rsidRPr="00D72DB6">
        <w:rPr>
          <w:rFonts w:ascii="Times New Roman" w:hAnsi="Times New Roman"/>
          <w:i/>
          <w:sz w:val="24"/>
          <w:szCs w:val="24"/>
        </w:rPr>
        <w:t>Për disa shtesa dhe ndryshime në vendimin nr. 824, datë 06.12.2006, të Këshillit të Ministrave, “Për miratimin e institucioneve të autorizuara për verifikimin, në mënyrë elektronike, të gjendjes gjyqësore, si dhe të formularit të deklarimit</w:t>
      </w:r>
      <w:r w:rsidRPr="00D72DB6">
        <w:rPr>
          <w:rFonts w:ascii="Times New Roman" w:hAnsi="Times New Roman"/>
          <w:sz w:val="24"/>
          <w:szCs w:val="24"/>
        </w:rPr>
        <w:t>”, të ndryshuar;</w:t>
      </w:r>
    </w:p>
    <w:p w:rsidR="00D72DB6" w:rsidRPr="00D72DB6" w:rsidRDefault="00D72DB6" w:rsidP="00D72DB6">
      <w:pPr>
        <w:spacing w:after="60"/>
        <w:jc w:val="both"/>
        <w:rPr>
          <w:rFonts w:ascii="Times New Roman" w:hAnsi="Times New Roman"/>
          <w:bCs/>
          <w:sz w:val="24"/>
          <w:szCs w:val="24"/>
        </w:rPr>
      </w:pPr>
      <w:r w:rsidRPr="00D72DB6">
        <w:rPr>
          <w:rFonts w:ascii="Times New Roman" w:hAnsi="Times New Roman"/>
          <w:b/>
          <w:i/>
          <w:sz w:val="24"/>
          <w:szCs w:val="24"/>
        </w:rPr>
        <w:t>Projektvendimin</w:t>
      </w:r>
      <w:r w:rsidRPr="00D72DB6">
        <w:rPr>
          <w:rFonts w:ascii="Times New Roman" w:hAnsi="Times New Roman"/>
          <w:sz w:val="24"/>
          <w:szCs w:val="24"/>
        </w:rPr>
        <w:t xml:space="preserve"> “</w:t>
      </w:r>
      <w:r w:rsidRPr="00D72DB6">
        <w:rPr>
          <w:rFonts w:ascii="Times New Roman" w:hAnsi="Times New Roman"/>
          <w:i/>
          <w:sz w:val="24"/>
          <w:szCs w:val="24"/>
        </w:rPr>
        <w:t>Për organizimin e Agjencisë Kombëtare të Shoqërisë së Informacionit</w:t>
      </w:r>
      <w:r w:rsidRPr="00D72DB6">
        <w:rPr>
          <w:rFonts w:ascii="Times New Roman" w:hAnsi="Times New Roman"/>
          <w:sz w:val="24"/>
          <w:szCs w:val="24"/>
        </w:rPr>
        <w:t>”</w:t>
      </w:r>
      <w:r w:rsidRPr="00D72DB6">
        <w:rPr>
          <w:rFonts w:ascii="Times New Roman" w:hAnsi="Times New Roman"/>
          <w:bCs/>
          <w:sz w:val="24"/>
          <w:szCs w:val="24"/>
        </w:rPr>
        <w:t>, dërguar nga Kryeministria;</w:t>
      </w:r>
    </w:p>
    <w:p w:rsidR="00D72DB6" w:rsidRPr="00D72DB6" w:rsidRDefault="00D72DB6" w:rsidP="00D72DB6">
      <w:pPr>
        <w:spacing w:after="60"/>
        <w:jc w:val="both"/>
        <w:rPr>
          <w:rFonts w:ascii="Times New Roman" w:hAnsi="Times New Roman"/>
          <w:sz w:val="24"/>
          <w:szCs w:val="24"/>
        </w:rPr>
      </w:pPr>
      <w:r w:rsidRPr="00D72DB6">
        <w:rPr>
          <w:rFonts w:ascii="Times New Roman" w:hAnsi="Times New Roman"/>
          <w:b/>
          <w:i/>
          <w:sz w:val="24"/>
          <w:szCs w:val="24"/>
        </w:rPr>
        <w:t>Projektvendimin</w:t>
      </w:r>
      <w:r w:rsidRPr="00D72DB6">
        <w:rPr>
          <w:rFonts w:ascii="Times New Roman" w:hAnsi="Times New Roman"/>
          <w:sz w:val="24"/>
          <w:szCs w:val="24"/>
        </w:rPr>
        <w:t xml:space="preserve"> “</w:t>
      </w:r>
      <w:r w:rsidRPr="00D72DB6">
        <w:rPr>
          <w:rFonts w:ascii="Times New Roman" w:hAnsi="Times New Roman"/>
          <w:i/>
          <w:sz w:val="24"/>
          <w:szCs w:val="24"/>
        </w:rPr>
        <w:t>Për miratimin e rregullores ‘Për licencimin e arkivave private</w:t>
      </w:r>
      <w:r w:rsidRPr="00D72DB6">
        <w:rPr>
          <w:rFonts w:ascii="Times New Roman" w:hAnsi="Times New Roman"/>
          <w:sz w:val="24"/>
          <w:szCs w:val="24"/>
        </w:rPr>
        <w:t xml:space="preserve">”, </w:t>
      </w:r>
      <w:r w:rsidRPr="00D72DB6">
        <w:rPr>
          <w:rFonts w:ascii="Times New Roman" w:hAnsi="Times New Roman"/>
          <w:bCs/>
          <w:sz w:val="24"/>
          <w:szCs w:val="24"/>
        </w:rPr>
        <w:t xml:space="preserve">dërguar nga </w:t>
      </w:r>
      <w:r w:rsidRPr="00D72DB6">
        <w:rPr>
          <w:rFonts w:ascii="Times New Roman" w:hAnsi="Times New Roman"/>
          <w:sz w:val="24"/>
          <w:szCs w:val="24"/>
        </w:rPr>
        <w:t>Kryeministria;</w:t>
      </w:r>
    </w:p>
    <w:p w:rsidR="00D72DB6" w:rsidRPr="00D72DB6" w:rsidRDefault="00D72DB6" w:rsidP="00D72DB6">
      <w:pPr>
        <w:spacing w:after="60"/>
        <w:jc w:val="both"/>
        <w:rPr>
          <w:rFonts w:ascii="Times New Roman" w:hAnsi="Times New Roman"/>
          <w:sz w:val="24"/>
          <w:szCs w:val="24"/>
        </w:rPr>
      </w:pPr>
      <w:r w:rsidRPr="00D72DB6">
        <w:rPr>
          <w:rFonts w:ascii="Times New Roman" w:hAnsi="Times New Roman"/>
          <w:b/>
          <w:bCs/>
          <w:i/>
          <w:sz w:val="24"/>
          <w:szCs w:val="24"/>
        </w:rPr>
        <w:lastRenderedPageBreak/>
        <w:t xml:space="preserve">Projektvendimin </w:t>
      </w:r>
      <w:r w:rsidRPr="00D72DB6">
        <w:rPr>
          <w:rFonts w:ascii="Times New Roman" w:hAnsi="Times New Roman"/>
          <w:sz w:val="24"/>
          <w:szCs w:val="24"/>
        </w:rPr>
        <w:t>për miratimin në parim të “</w:t>
      </w:r>
      <w:r w:rsidRPr="00D72DB6">
        <w:rPr>
          <w:rFonts w:ascii="Times New Roman" w:hAnsi="Times New Roman"/>
          <w:i/>
          <w:sz w:val="24"/>
          <w:szCs w:val="24"/>
        </w:rPr>
        <w:t>Marrëveshjes së Bashkëpunimit ndërmjet Këshillit të Ministrave të Republikës së Shqipërisë dhe Komisionit Ndërkombëtar për Personat e Humbur (ICMP)”</w:t>
      </w:r>
      <w:r w:rsidRPr="00D72DB6">
        <w:rPr>
          <w:rFonts w:ascii="Times New Roman" w:hAnsi="Times New Roman"/>
          <w:sz w:val="24"/>
          <w:szCs w:val="24"/>
        </w:rPr>
        <w:t xml:space="preserve">, dërguar nga Ministria e Brendshme; </w:t>
      </w:r>
    </w:p>
    <w:p w:rsidR="00D72DB6" w:rsidRPr="00D72DB6" w:rsidRDefault="00D72DB6" w:rsidP="00D72DB6">
      <w:pPr>
        <w:spacing w:after="60"/>
        <w:jc w:val="both"/>
        <w:rPr>
          <w:rFonts w:ascii="Times New Roman" w:hAnsi="Times New Roman"/>
          <w:sz w:val="24"/>
          <w:szCs w:val="24"/>
        </w:rPr>
      </w:pPr>
      <w:r w:rsidRPr="00D72DB6">
        <w:rPr>
          <w:rFonts w:ascii="Times New Roman" w:hAnsi="Times New Roman"/>
          <w:b/>
          <w:bCs/>
          <w:i/>
          <w:sz w:val="24"/>
          <w:szCs w:val="24"/>
        </w:rPr>
        <w:t>Projektvendimin</w:t>
      </w:r>
      <w:r w:rsidRPr="00D72DB6">
        <w:rPr>
          <w:rFonts w:ascii="Times New Roman" w:hAnsi="Times New Roman"/>
          <w:sz w:val="24"/>
          <w:szCs w:val="24"/>
        </w:rPr>
        <w:t xml:space="preserve"> “</w:t>
      </w:r>
      <w:r w:rsidRPr="00D72DB6">
        <w:rPr>
          <w:rFonts w:ascii="Times New Roman" w:hAnsi="Times New Roman"/>
          <w:i/>
          <w:sz w:val="24"/>
          <w:szCs w:val="24"/>
        </w:rPr>
        <w:t>Për miratimin në parim të Marrëveshjes ndërmjet Këshillit të Ministrave të Republikës së Shqipërisë dhe Qeverisë së Republikës së Greqisë “Mbi ngritjen dhe funksionimin e një qendre kontakti të përbashkët për bashkëpunim policor dhe doganor</w:t>
      </w:r>
      <w:r w:rsidRPr="00D72DB6">
        <w:rPr>
          <w:rFonts w:ascii="Times New Roman" w:hAnsi="Times New Roman"/>
          <w:sz w:val="24"/>
          <w:szCs w:val="24"/>
        </w:rPr>
        <w:t>”, dërguar nga Ministria e Brendshme;</w:t>
      </w:r>
    </w:p>
    <w:p w:rsidR="00D72DB6" w:rsidRPr="00D72DB6" w:rsidRDefault="00D72DB6" w:rsidP="00D72DB6">
      <w:pPr>
        <w:autoSpaceDE w:val="0"/>
        <w:autoSpaceDN w:val="0"/>
        <w:adjustRightInd w:val="0"/>
        <w:spacing w:after="60"/>
        <w:jc w:val="both"/>
        <w:rPr>
          <w:rFonts w:ascii="Times New Roman" w:hAnsi="Times New Roman"/>
          <w:sz w:val="24"/>
          <w:szCs w:val="24"/>
        </w:rPr>
      </w:pPr>
      <w:r w:rsidRPr="00D72DB6">
        <w:rPr>
          <w:rFonts w:ascii="Times New Roman" w:hAnsi="Times New Roman"/>
          <w:b/>
          <w:bCs/>
          <w:i/>
          <w:sz w:val="24"/>
          <w:szCs w:val="24"/>
        </w:rPr>
        <w:t>Projektvendimin</w:t>
      </w:r>
      <w:r w:rsidRPr="00D72DB6">
        <w:rPr>
          <w:rFonts w:ascii="Times New Roman" w:hAnsi="Times New Roman"/>
          <w:sz w:val="24"/>
          <w:szCs w:val="24"/>
        </w:rPr>
        <w:t xml:space="preserve"> për “</w:t>
      </w:r>
      <w:r w:rsidRPr="00D72DB6">
        <w:rPr>
          <w:rFonts w:ascii="Times New Roman" w:hAnsi="Times New Roman"/>
          <w:i/>
          <w:sz w:val="24"/>
          <w:szCs w:val="24"/>
        </w:rPr>
        <w:t>Memorandumin e Mirëkuptimit ndërmjet Ministrisë së Brendshme dhe Mbretërisë së Bashkuar të Britanisë së Madhe dhe Irlandës së Veriut dhe Ministrisë së Drejtësisë</w:t>
      </w:r>
      <w:r w:rsidRPr="00D72DB6">
        <w:rPr>
          <w:rFonts w:ascii="Times New Roman" w:hAnsi="Times New Roman"/>
          <w:sz w:val="24"/>
          <w:szCs w:val="24"/>
        </w:rPr>
        <w:t>”, dërguar nga Ministria e Brendshme;</w:t>
      </w:r>
    </w:p>
    <w:p w:rsidR="00D72DB6" w:rsidRPr="00D72DB6" w:rsidRDefault="00D72DB6" w:rsidP="00D72DB6">
      <w:pPr>
        <w:autoSpaceDE w:val="0"/>
        <w:autoSpaceDN w:val="0"/>
        <w:adjustRightInd w:val="0"/>
        <w:spacing w:after="60"/>
        <w:jc w:val="both"/>
        <w:rPr>
          <w:rFonts w:ascii="Times New Roman" w:hAnsi="Times New Roman"/>
          <w:sz w:val="24"/>
          <w:szCs w:val="24"/>
        </w:rPr>
      </w:pPr>
      <w:r w:rsidRPr="00D72DB6">
        <w:rPr>
          <w:rFonts w:ascii="Times New Roman" w:hAnsi="Times New Roman"/>
          <w:b/>
          <w:bCs/>
          <w:i/>
          <w:sz w:val="24"/>
          <w:szCs w:val="24"/>
        </w:rPr>
        <w:t>Projektvendimin</w:t>
      </w:r>
      <w:r w:rsidRPr="00D72DB6">
        <w:rPr>
          <w:rFonts w:ascii="Times New Roman" w:hAnsi="Times New Roman"/>
          <w:sz w:val="24"/>
          <w:szCs w:val="24"/>
        </w:rPr>
        <w:t xml:space="preserve"> “</w:t>
      </w:r>
      <w:r w:rsidRPr="00D72DB6">
        <w:rPr>
          <w:rFonts w:ascii="Times New Roman" w:hAnsi="Times New Roman"/>
          <w:i/>
          <w:sz w:val="24"/>
          <w:szCs w:val="24"/>
        </w:rPr>
        <w:t xml:space="preserve">Për miratimin në parim të </w:t>
      </w:r>
      <w:r w:rsidRPr="00D72DB6">
        <w:rPr>
          <w:rFonts w:ascii="Times New Roman" w:eastAsia="Times New Roman" w:hAnsi="Times New Roman"/>
          <w:i/>
          <w:sz w:val="24"/>
          <w:szCs w:val="24"/>
        </w:rPr>
        <w:t>Marrëveshjen e Bashkëpunimit</w:t>
      </w:r>
      <w:r w:rsidRPr="00D72DB6">
        <w:rPr>
          <w:rFonts w:ascii="Times New Roman" w:eastAsia="Times New Roman" w:hAnsi="Times New Roman"/>
          <w:sz w:val="24"/>
          <w:szCs w:val="24"/>
        </w:rPr>
        <w:t xml:space="preserve"> ndërmjet Këshillit të Ministrave të Republikës së Shqipërisë dhe Qeverisë së Shteteve të Bashkuara të Amerikës “</w:t>
      </w:r>
      <w:r w:rsidRPr="00D72DB6">
        <w:rPr>
          <w:rFonts w:ascii="Times New Roman" w:eastAsia="Times New Roman" w:hAnsi="Times New Roman"/>
          <w:i/>
          <w:sz w:val="24"/>
          <w:szCs w:val="24"/>
        </w:rPr>
        <w:t>Mbi parandalimin e Trafikimit të Paligjshëm të Materialeve Bërthamore dhe materialeve të tjera Radioaktive</w:t>
      </w:r>
      <w:r w:rsidRPr="00D72DB6">
        <w:rPr>
          <w:rFonts w:ascii="Times New Roman" w:eastAsia="Times New Roman" w:hAnsi="Times New Roman"/>
          <w:sz w:val="24"/>
          <w:szCs w:val="24"/>
        </w:rPr>
        <w:t>”,</w:t>
      </w:r>
      <w:r w:rsidRPr="00D72DB6">
        <w:rPr>
          <w:rFonts w:ascii="Times New Roman" w:hAnsi="Times New Roman"/>
          <w:sz w:val="24"/>
          <w:szCs w:val="24"/>
        </w:rPr>
        <w:t xml:space="preserve"> dërguar nga Ministria e Brendshme;</w:t>
      </w:r>
    </w:p>
    <w:p w:rsidR="00D72DB6" w:rsidRPr="00D72DB6" w:rsidRDefault="00D72DB6" w:rsidP="00D72DB6">
      <w:pPr>
        <w:autoSpaceDE w:val="0"/>
        <w:autoSpaceDN w:val="0"/>
        <w:adjustRightInd w:val="0"/>
        <w:spacing w:after="60"/>
        <w:jc w:val="both"/>
        <w:rPr>
          <w:rFonts w:ascii="Times New Roman" w:hAnsi="Times New Roman"/>
          <w:sz w:val="24"/>
          <w:szCs w:val="24"/>
        </w:rPr>
      </w:pPr>
      <w:r w:rsidRPr="00D72DB6">
        <w:rPr>
          <w:rFonts w:ascii="Times New Roman" w:hAnsi="Times New Roman"/>
          <w:b/>
          <w:i/>
          <w:sz w:val="24"/>
          <w:szCs w:val="24"/>
        </w:rPr>
        <w:t>Projektmarrëveshjen e bashkëpunimit</w:t>
      </w:r>
      <w:r w:rsidRPr="00D72DB6">
        <w:rPr>
          <w:rFonts w:ascii="Times New Roman" w:hAnsi="Times New Roman"/>
          <w:sz w:val="24"/>
          <w:szCs w:val="24"/>
        </w:rPr>
        <w:t xml:space="preserve"> </w:t>
      </w:r>
      <w:r w:rsidRPr="00D72DB6">
        <w:rPr>
          <w:rFonts w:ascii="Times New Roman" w:hAnsi="Times New Roman"/>
          <w:b/>
          <w:i/>
          <w:sz w:val="24"/>
          <w:szCs w:val="24"/>
        </w:rPr>
        <w:t>me Eurojust</w:t>
      </w:r>
      <w:r w:rsidRPr="00D72DB6">
        <w:rPr>
          <w:rFonts w:ascii="Times New Roman" w:hAnsi="Times New Roman"/>
          <w:sz w:val="24"/>
          <w:szCs w:val="24"/>
        </w:rPr>
        <w:t>, dërguar nga Ministria e Drejtësisë;</w:t>
      </w:r>
    </w:p>
    <w:p w:rsidR="00D72DB6" w:rsidRPr="00D72DB6" w:rsidRDefault="00D72DB6" w:rsidP="00D72DB6">
      <w:pPr>
        <w:spacing w:after="60"/>
        <w:jc w:val="both"/>
        <w:rPr>
          <w:rFonts w:ascii="Times New Roman" w:hAnsi="Times New Roman"/>
          <w:sz w:val="24"/>
          <w:szCs w:val="24"/>
        </w:rPr>
      </w:pPr>
      <w:r w:rsidRPr="00D72DB6">
        <w:rPr>
          <w:rFonts w:ascii="Times New Roman" w:hAnsi="Times New Roman"/>
          <w:b/>
          <w:bCs/>
          <w:i/>
          <w:sz w:val="24"/>
          <w:szCs w:val="24"/>
        </w:rPr>
        <w:t>Memorandum Mirëkuptimi</w:t>
      </w:r>
      <w:r w:rsidRPr="00D72DB6">
        <w:rPr>
          <w:rFonts w:ascii="Times New Roman" w:hAnsi="Times New Roman"/>
          <w:bCs/>
          <w:sz w:val="24"/>
          <w:szCs w:val="24"/>
        </w:rPr>
        <w:t xml:space="preserve"> </w:t>
      </w:r>
      <w:r w:rsidRPr="00D72DB6">
        <w:rPr>
          <w:rFonts w:ascii="Times New Roman" w:hAnsi="Times New Roman"/>
          <w:bCs/>
          <w:i/>
          <w:sz w:val="24"/>
          <w:szCs w:val="24"/>
        </w:rPr>
        <w:t>për Bashkëveprim rreth Shkeljeve Penale Doganore midis Doganave dhe Tatimeve të Mbretërisë së Bashkuar, të përbëra nga Britania e Madhe dhe Irlanda e Veriut dhe Administratës Doganore Shqiptare</w:t>
      </w:r>
      <w:r w:rsidRPr="00D72DB6">
        <w:rPr>
          <w:rFonts w:ascii="Times New Roman" w:hAnsi="Times New Roman"/>
          <w:bCs/>
          <w:sz w:val="24"/>
          <w:szCs w:val="24"/>
        </w:rPr>
        <w:t xml:space="preserve">”, </w:t>
      </w:r>
      <w:r w:rsidRPr="00D72DB6">
        <w:rPr>
          <w:rFonts w:ascii="Times New Roman" w:hAnsi="Times New Roman"/>
          <w:sz w:val="24"/>
          <w:szCs w:val="24"/>
        </w:rPr>
        <w:t>dërguar nga Drejtoria e Përgjithshme e Doganave;</w:t>
      </w:r>
    </w:p>
    <w:p w:rsidR="00D72DB6" w:rsidRPr="00D72DB6" w:rsidRDefault="00D72DB6" w:rsidP="00D72DB6">
      <w:pPr>
        <w:autoSpaceDE w:val="0"/>
        <w:autoSpaceDN w:val="0"/>
        <w:adjustRightInd w:val="0"/>
        <w:spacing w:after="60"/>
        <w:jc w:val="both"/>
        <w:rPr>
          <w:rFonts w:ascii="Times New Roman" w:hAnsi="Times New Roman"/>
          <w:sz w:val="24"/>
          <w:szCs w:val="24"/>
        </w:rPr>
      </w:pPr>
      <w:r w:rsidRPr="00D72DB6">
        <w:rPr>
          <w:rFonts w:ascii="Times New Roman" w:eastAsia="Times New Roman" w:hAnsi="Times New Roman"/>
          <w:b/>
          <w:i/>
          <w:sz w:val="24"/>
          <w:szCs w:val="24"/>
        </w:rPr>
        <w:t>Projekt/</w:t>
      </w:r>
      <w:r w:rsidRPr="00D72DB6">
        <w:rPr>
          <w:rFonts w:ascii="Times New Roman" w:hAnsi="Times New Roman"/>
          <w:b/>
          <w:bCs/>
          <w:i/>
          <w:sz w:val="24"/>
          <w:szCs w:val="24"/>
        </w:rPr>
        <w:t>Marrëveshjen</w:t>
      </w:r>
      <w:r w:rsidRPr="00D72DB6">
        <w:rPr>
          <w:rFonts w:ascii="Times New Roman" w:hAnsi="Times New Roman"/>
          <w:bCs/>
          <w:sz w:val="24"/>
          <w:szCs w:val="24"/>
        </w:rPr>
        <w:t xml:space="preserve"> </w:t>
      </w:r>
      <w:r w:rsidRPr="00D72DB6">
        <w:rPr>
          <w:rFonts w:ascii="Times New Roman" w:hAnsi="Times New Roman"/>
          <w:bCs/>
          <w:i/>
          <w:sz w:val="24"/>
          <w:szCs w:val="24"/>
        </w:rPr>
        <w:t>ndërmjet Këshillit të Ministrave të Republikës së Shqipërisë dhe Republikës Popullore të Kinës “Mbi bashkëpunimin doganor dhe ndihmën e ndërsjellë”</w:t>
      </w:r>
      <w:r w:rsidRPr="00D72DB6">
        <w:rPr>
          <w:rFonts w:ascii="Times New Roman" w:hAnsi="Times New Roman"/>
          <w:bCs/>
          <w:sz w:val="24"/>
          <w:szCs w:val="24"/>
        </w:rPr>
        <w:t>, dërguar nga Drejtoria e Përgjithshme e Doganave;</w:t>
      </w:r>
    </w:p>
    <w:p w:rsidR="00D72DB6" w:rsidRPr="00D72DB6" w:rsidRDefault="00D72DB6" w:rsidP="00D72DB6">
      <w:pPr>
        <w:spacing w:after="60"/>
        <w:jc w:val="both"/>
        <w:rPr>
          <w:rFonts w:ascii="Times New Roman" w:eastAsia="Times New Roman" w:hAnsi="Times New Roman"/>
          <w:sz w:val="24"/>
          <w:szCs w:val="24"/>
        </w:rPr>
      </w:pPr>
      <w:r w:rsidRPr="00D72DB6">
        <w:rPr>
          <w:rFonts w:ascii="Times New Roman" w:hAnsi="Times New Roman"/>
          <w:b/>
          <w:i/>
          <w:sz w:val="24"/>
          <w:szCs w:val="24"/>
        </w:rPr>
        <w:t>Projekt</w:t>
      </w:r>
      <w:r w:rsidRPr="00D72DB6">
        <w:rPr>
          <w:rFonts w:ascii="Times New Roman" w:eastAsia="Times New Roman" w:hAnsi="Times New Roman"/>
          <w:b/>
          <w:i/>
          <w:sz w:val="24"/>
          <w:szCs w:val="24"/>
        </w:rPr>
        <w:t>/Marrëveshjen</w:t>
      </w:r>
      <w:r w:rsidRPr="00D72DB6">
        <w:rPr>
          <w:rFonts w:ascii="Times New Roman" w:eastAsia="Times New Roman" w:hAnsi="Times New Roman"/>
          <w:sz w:val="24"/>
          <w:szCs w:val="24"/>
        </w:rPr>
        <w:t xml:space="preserve"> “</w:t>
      </w:r>
      <w:r w:rsidRPr="00D72DB6">
        <w:rPr>
          <w:rFonts w:ascii="Times New Roman" w:eastAsia="Times New Roman" w:hAnsi="Times New Roman"/>
          <w:i/>
          <w:sz w:val="24"/>
          <w:szCs w:val="24"/>
        </w:rPr>
        <w:t>Për përhapjen e të dhënave personale të kandidatëve për studentë në IAL, për vitin akademik 2017 – 2018, nga Qendra e Shërbimeve Arsimore tek Qendra Ndëruniversitare e Shërbimeve dhe Rrjetit Telematik</w:t>
      </w:r>
      <w:r w:rsidRPr="00D72DB6">
        <w:rPr>
          <w:rFonts w:ascii="Times New Roman" w:eastAsia="Times New Roman" w:hAnsi="Times New Roman"/>
          <w:sz w:val="24"/>
          <w:szCs w:val="24"/>
        </w:rPr>
        <w:t>”, dërguar nga Ministria e Arsimit dhe Sportit;</w:t>
      </w:r>
    </w:p>
    <w:p w:rsidR="00D72DB6" w:rsidRPr="00D72DB6" w:rsidRDefault="00D72DB6" w:rsidP="00D72DB6">
      <w:pPr>
        <w:tabs>
          <w:tab w:val="left" w:pos="0"/>
        </w:tabs>
        <w:spacing w:after="0"/>
        <w:jc w:val="both"/>
        <w:rPr>
          <w:rFonts w:ascii="Times New Roman" w:hAnsi="Times New Roman"/>
          <w:sz w:val="24"/>
          <w:szCs w:val="24"/>
        </w:rPr>
      </w:pPr>
      <w:r w:rsidRPr="00D72DB6">
        <w:rPr>
          <w:rFonts w:ascii="Times New Roman" w:hAnsi="Times New Roman"/>
          <w:b/>
          <w:i/>
          <w:sz w:val="24"/>
          <w:szCs w:val="24"/>
        </w:rPr>
        <w:t>Për përmirësimet e Kodit të Transmetimit</w:t>
      </w:r>
      <w:r w:rsidRPr="00D72DB6">
        <w:rPr>
          <w:rFonts w:ascii="Times New Roman" w:hAnsi="Times New Roman"/>
          <w:sz w:val="24"/>
          <w:szCs w:val="24"/>
        </w:rPr>
        <w:t>, miratuar me Vendimin e AMA nr.1, datë 27.01.2014, dërguar nga AMA.</w:t>
      </w:r>
    </w:p>
    <w:p w:rsidR="00D72DB6" w:rsidRPr="00D72DB6" w:rsidRDefault="00D72DB6" w:rsidP="00D72DB6">
      <w:pPr>
        <w:jc w:val="both"/>
        <w:rPr>
          <w:rFonts w:ascii="Times New Roman" w:hAnsi="Times New Roman"/>
          <w:bCs/>
          <w:iCs/>
          <w:sz w:val="24"/>
          <w:szCs w:val="24"/>
        </w:rPr>
      </w:pPr>
    </w:p>
    <w:p w:rsidR="00D72DB6" w:rsidRPr="00D72DB6" w:rsidRDefault="00D72DB6" w:rsidP="00D72DB6">
      <w:pPr>
        <w:jc w:val="both"/>
        <w:rPr>
          <w:rFonts w:ascii="Times New Roman" w:eastAsia="Arial Unicode MS" w:hAnsi="Times New Roman"/>
          <w:bCs/>
          <w:iCs/>
          <w:sz w:val="24"/>
          <w:szCs w:val="24"/>
        </w:rPr>
      </w:pPr>
      <w:r w:rsidRPr="00D72DB6">
        <w:rPr>
          <w:rFonts w:ascii="Times New Roman" w:eastAsia="Arial Unicode MS" w:hAnsi="Times New Roman"/>
          <w:bCs/>
          <w:iCs/>
          <w:sz w:val="24"/>
          <w:szCs w:val="24"/>
        </w:rPr>
        <w:t xml:space="preserve">Janë dhënë opinione ligjore për dokumente të rëndësishëm, ardhur nga institucione të ndryshme disa prej të cilave: </w:t>
      </w:r>
    </w:p>
    <w:p w:rsidR="00D72DB6" w:rsidRPr="00D72DB6" w:rsidRDefault="00D72DB6" w:rsidP="00D72DB6">
      <w:pPr>
        <w:numPr>
          <w:ilvl w:val="0"/>
          <w:numId w:val="31"/>
        </w:numPr>
        <w:contextualSpacing/>
        <w:jc w:val="both"/>
        <w:rPr>
          <w:rFonts w:ascii="Times New Roman" w:hAnsi="Times New Roman"/>
          <w:sz w:val="24"/>
          <w:szCs w:val="24"/>
        </w:rPr>
      </w:pPr>
      <w:r w:rsidRPr="00D72DB6">
        <w:rPr>
          <w:rFonts w:ascii="Times New Roman" w:hAnsi="Times New Roman"/>
          <w:sz w:val="24"/>
          <w:szCs w:val="24"/>
        </w:rPr>
        <w:t>Opinion për projektin “</w:t>
      </w:r>
      <w:r w:rsidRPr="00D72DB6">
        <w:rPr>
          <w:rFonts w:ascii="Times New Roman" w:hAnsi="Times New Roman"/>
          <w:i/>
          <w:sz w:val="24"/>
          <w:szCs w:val="24"/>
        </w:rPr>
        <w:t>Transparenca e Financimit të partive politike si një mekanizëm për uljen e korrupsionit në Shqipëri</w:t>
      </w:r>
      <w:r w:rsidRPr="00D72DB6">
        <w:rPr>
          <w:rFonts w:ascii="Times New Roman" w:hAnsi="Times New Roman"/>
          <w:sz w:val="24"/>
          <w:szCs w:val="24"/>
        </w:rPr>
        <w:t>”,  drejtuar Koalicionit të Vëzhguesve Vendorë;</w:t>
      </w:r>
    </w:p>
    <w:p w:rsidR="00D72DB6" w:rsidRPr="00D72DB6" w:rsidRDefault="00D72DB6" w:rsidP="00D72DB6">
      <w:pPr>
        <w:numPr>
          <w:ilvl w:val="0"/>
          <w:numId w:val="31"/>
        </w:numPr>
        <w:spacing w:after="160"/>
        <w:contextualSpacing/>
        <w:jc w:val="both"/>
        <w:rPr>
          <w:rFonts w:ascii="Times New Roman" w:hAnsi="Times New Roman"/>
          <w:sz w:val="24"/>
          <w:szCs w:val="24"/>
        </w:rPr>
      </w:pPr>
      <w:r w:rsidRPr="00D72DB6">
        <w:rPr>
          <w:rFonts w:ascii="Times New Roman" w:hAnsi="Times New Roman"/>
          <w:sz w:val="24"/>
          <w:szCs w:val="24"/>
        </w:rPr>
        <w:t>Opinion për “</w:t>
      </w:r>
      <w:r w:rsidRPr="00D72DB6">
        <w:rPr>
          <w:rFonts w:ascii="Times New Roman" w:hAnsi="Times New Roman"/>
          <w:i/>
          <w:sz w:val="24"/>
          <w:szCs w:val="24"/>
        </w:rPr>
        <w:t>Publikimin e listës së kandidatëve që kanë aplikuar për pozicionet e anëtarëve të institucioneve të rivlerësimit kalimtar të gjyqtarëve dhe prokurorëve</w:t>
      </w:r>
      <w:r w:rsidRPr="00D72DB6">
        <w:rPr>
          <w:rFonts w:ascii="Times New Roman" w:hAnsi="Times New Roman"/>
          <w:sz w:val="24"/>
          <w:szCs w:val="24"/>
        </w:rPr>
        <w:t>”, drejtuar Avokatit të Popullit;</w:t>
      </w:r>
    </w:p>
    <w:p w:rsidR="00D72DB6" w:rsidRPr="00D72DB6" w:rsidRDefault="00D72DB6" w:rsidP="00D72DB6">
      <w:pPr>
        <w:numPr>
          <w:ilvl w:val="0"/>
          <w:numId w:val="31"/>
        </w:numPr>
        <w:spacing w:after="160"/>
        <w:contextualSpacing/>
        <w:jc w:val="both"/>
        <w:rPr>
          <w:rFonts w:ascii="Times New Roman" w:hAnsi="Times New Roman"/>
          <w:sz w:val="24"/>
          <w:szCs w:val="24"/>
        </w:rPr>
      </w:pPr>
      <w:r w:rsidRPr="00D72DB6">
        <w:rPr>
          <w:rFonts w:ascii="Times New Roman" w:hAnsi="Times New Roman"/>
          <w:sz w:val="24"/>
          <w:szCs w:val="24"/>
        </w:rPr>
        <w:t>Opinion “</w:t>
      </w:r>
      <w:r w:rsidRPr="00D72DB6">
        <w:rPr>
          <w:rFonts w:ascii="Times New Roman" w:hAnsi="Times New Roman"/>
          <w:i/>
          <w:sz w:val="24"/>
          <w:szCs w:val="24"/>
        </w:rPr>
        <w:t>Për bërjen publike të rekomandimeve të Operacionit Ndërkombëtar të Monitorimit lidhur me kandidatët për institucionet e rivlerësimit</w:t>
      </w:r>
      <w:r w:rsidRPr="00D72DB6">
        <w:rPr>
          <w:rFonts w:ascii="Times New Roman" w:hAnsi="Times New Roman"/>
          <w:sz w:val="24"/>
          <w:szCs w:val="24"/>
        </w:rPr>
        <w:t>”, drejtuar Kuvendit të Republik</w:t>
      </w:r>
      <w:r w:rsidRPr="00D72DB6">
        <w:rPr>
          <w:rFonts w:ascii="Times New Roman" w:eastAsia="MingLiU-ExtB" w:hAnsi="Times New Roman"/>
          <w:sz w:val="24"/>
          <w:szCs w:val="24"/>
        </w:rPr>
        <w:t xml:space="preserve">ës së </w:t>
      </w:r>
      <w:r w:rsidRPr="00D72DB6">
        <w:rPr>
          <w:rFonts w:ascii="Times New Roman" w:hAnsi="Times New Roman"/>
          <w:sz w:val="24"/>
          <w:szCs w:val="24"/>
        </w:rPr>
        <w:t>Shqipërisë;</w:t>
      </w:r>
    </w:p>
    <w:p w:rsidR="00D72DB6" w:rsidRPr="00D72DB6" w:rsidRDefault="00D72DB6" w:rsidP="00D72DB6">
      <w:pPr>
        <w:numPr>
          <w:ilvl w:val="0"/>
          <w:numId w:val="31"/>
        </w:numPr>
        <w:spacing w:after="160"/>
        <w:contextualSpacing/>
        <w:jc w:val="both"/>
        <w:rPr>
          <w:rFonts w:ascii="Times New Roman" w:hAnsi="Times New Roman"/>
          <w:sz w:val="24"/>
          <w:szCs w:val="24"/>
        </w:rPr>
      </w:pPr>
      <w:r w:rsidRPr="00D72DB6">
        <w:rPr>
          <w:rFonts w:ascii="Times New Roman" w:hAnsi="Times New Roman"/>
          <w:sz w:val="24"/>
          <w:szCs w:val="24"/>
        </w:rPr>
        <w:lastRenderedPageBreak/>
        <w:t>Opinionin “</w:t>
      </w:r>
      <w:r w:rsidRPr="00D72DB6">
        <w:rPr>
          <w:rFonts w:ascii="Times New Roman" w:hAnsi="Times New Roman"/>
          <w:i/>
          <w:sz w:val="24"/>
          <w:szCs w:val="24"/>
        </w:rPr>
        <w:t>Në lidhje me kërkesën për bërjen publike nga Kuvendi i Republikës së Shqip</w:t>
      </w:r>
      <w:r w:rsidRPr="00D72DB6">
        <w:rPr>
          <w:rFonts w:ascii="Times New Roman" w:hAnsi="Times New Roman"/>
          <w:i/>
          <w:sz w:val="24"/>
          <w:szCs w:val="24"/>
          <w:lang w:eastAsia="ja-JP"/>
        </w:rPr>
        <w:t>ërisë</w:t>
      </w:r>
      <w:r w:rsidRPr="00D72DB6">
        <w:rPr>
          <w:rFonts w:ascii="Times New Roman" w:hAnsi="Times New Roman"/>
          <w:i/>
          <w:sz w:val="24"/>
          <w:szCs w:val="24"/>
        </w:rPr>
        <w:t xml:space="preserve"> të dosjeve profesionale të anëtareve të institucioneve të rivlerësimit kalimtar te gjyqtareve dhe prokuroreve</w:t>
      </w:r>
      <w:r w:rsidRPr="00D72DB6">
        <w:rPr>
          <w:rFonts w:ascii="Times New Roman" w:hAnsi="Times New Roman"/>
          <w:sz w:val="24"/>
          <w:szCs w:val="24"/>
        </w:rPr>
        <w:t>”;</w:t>
      </w:r>
    </w:p>
    <w:p w:rsidR="00D72DB6" w:rsidRPr="00D72DB6" w:rsidRDefault="00D72DB6" w:rsidP="00D72DB6">
      <w:pPr>
        <w:numPr>
          <w:ilvl w:val="0"/>
          <w:numId w:val="31"/>
        </w:numPr>
        <w:spacing w:after="160"/>
        <w:contextualSpacing/>
        <w:jc w:val="both"/>
        <w:rPr>
          <w:rFonts w:ascii="Times New Roman" w:hAnsi="Times New Roman"/>
          <w:sz w:val="24"/>
          <w:szCs w:val="24"/>
        </w:rPr>
      </w:pPr>
      <w:r w:rsidRPr="00D72DB6">
        <w:rPr>
          <w:rFonts w:ascii="Times New Roman" w:hAnsi="Times New Roman"/>
          <w:sz w:val="24"/>
          <w:szCs w:val="24"/>
        </w:rPr>
        <w:t>Opinion “</w:t>
      </w:r>
      <w:r w:rsidRPr="00D72DB6">
        <w:rPr>
          <w:rFonts w:ascii="Times New Roman" w:hAnsi="Times New Roman"/>
          <w:i/>
          <w:sz w:val="24"/>
          <w:szCs w:val="24"/>
        </w:rPr>
        <w:t>Në lidhje me bërjen publike nga Kuvendi i Shqipërisë të dokumenteve që provojnë përmbushjen e kritereve ligjorë nga kandidatët e përzgjedhur si anëtarë të Këshillit të Lartë Gjyqësor dhe Këshillit të Lartë të Prokurorisë</w:t>
      </w:r>
      <w:r w:rsidRPr="00D72DB6">
        <w:rPr>
          <w:rFonts w:ascii="Times New Roman" w:hAnsi="Times New Roman"/>
          <w:sz w:val="24"/>
          <w:szCs w:val="24"/>
        </w:rPr>
        <w:t>.”;</w:t>
      </w:r>
    </w:p>
    <w:p w:rsidR="00D72DB6" w:rsidRPr="00D72DB6" w:rsidRDefault="00D72DB6" w:rsidP="00D72DB6">
      <w:pPr>
        <w:numPr>
          <w:ilvl w:val="0"/>
          <w:numId w:val="31"/>
        </w:numPr>
        <w:spacing w:after="160"/>
        <w:contextualSpacing/>
        <w:rPr>
          <w:rFonts w:ascii="Times New Roman" w:hAnsi="Times New Roman"/>
          <w:sz w:val="24"/>
          <w:szCs w:val="24"/>
        </w:rPr>
      </w:pPr>
      <w:r w:rsidRPr="00D72DB6">
        <w:rPr>
          <w:rFonts w:ascii="Times New Roman" w:hAnsi="Times New Roman"/>
          <w:sz w:val="24"/>
          <w:szCs w:val="24"/>
        </w:rPr>
        <w:t>Opinion lidhur me kërkesën për bashkëpunim dërguar nga “</w:t>
      </w:r>
      <w:r w:rsidRPr="00D72DB6">
        <w:rPr>
          <w:rFonts w:ascii="Times New Roman" w:hAnsi="Times New Roman"/>
          <w:i/>
          <w:sz w:val="24"/>
          <w:szCs w:val="24"/>
        </w:rPr>
        <w:t>Autoriteti për Informimin për Dokumentet e Ish-Sigurimit të Shtetit</w:t>
      </w:r>
      <w:r w:rsidRPr="00D72DB6">
        <w:rPr>
          <w:rFonts w:ascii="Times New Roman" w:hAnsi="Times New Roman"/>
          <w:sz w:val="24"/>
          <w:szCs w:val="24"/>
        </w:rPr>
        <w:t>”;</w:t>
      </w:r>
    </w:p>
    <w:p w:rsidR="00D72DB6" w:rsidRPr="00D72DB6" w:rsidRDefault="00D72DB6" w:rsidP="00D72DB6">
      <w:pPr>
        <w:numPr>
          <w:ilvl w:val="0"/>
          <w:numId w:val="31"/>
        </w:numPr>
        <w:spacing w:after="160"/>
        <w:contextualSpacing/>
        <w:jc w:val="both"/>
        <w:rPr>
          <w:rFonts w:ascii="Times New Roman" w:hAnsi="Times New Roman"/>
          <w:sz w:val="24"/>
          <w:szCs w:val="24"/>
        </w:rPr>
      </w:pPr>
      <w:r w:rsidRPr="00D72DB6">
        <w:rPr>
          <w:rFonts w:ascii="Times New Roman" w:hAnsi="Times New Roman"/>
          <w:sz w:val="24"/>
          <w:szCs w:val="24"/>
        </w:rPr>
        <w:t>Opinion lidhur publikimin e Raporteve të Kontrollit të Lartë të Shtetit dhe respektimit të kërkesave të ligjit nr. 9887/2008 “Për mbrojtjen e të dhënave personale”, i ndryshuar, kërkuar nga Kontrolli i Lartë i Shtetit;</w:t>
      </w:r>
    </w:p>
    <w:p w:rsidR="00D72DB6" w:rsidRPr="00D72DB6" w:rsidRDefault="00D72DB6" w:rsidP="00D72DB6">
      <w:pPr>
        <w:numPr>
          <w:ilvl w:val="0"/>
          <w:numId w:val="31"/>
        </w:numPr>
        <w:spacing w:after="0"/>
        <w:contextualSpacing/>
        <w:jc w:val="both"/>
        <w:rPr>
          <w:rFonts w:ascii="Times New Roman" w:eastAsia="Times New Roman" w:hAnsi="Times New Roman"/>
          <w:sz w:val="24"/>
          <w:szCs w:val="24"/>
        </w:rPr>
      </w:pPr>
      <w:r w:rsidRPr="00D72DB6">
        <w:rPr>
          <w:rFonts w:ascii="Times New Roman" w:hAnsi="Times New Roman"/>
          <w:sz w:val="24"/>
          <w:szCs w:val="24"/>
        </w:rPr>
        <w:t>Opinion lidhur me Projektin “</w:t>
      </w:r>
      <w:r w:rsidRPr="00D72DB6">
        <w:rPr>
          <w:rFonts w:ascii="Times New Roman" w:hAnsi="Times New Roman"/>
          <w:i/>
          <w:sz w:val="24"/>
          <w:szCs w:val="24"/>
        </w:rPr>
        <w:t>Mbi Regjistrin Evropian të Fibrozës Kistike” (ECFSPR) mbi bazën e të cilit synohet mbledhja, përpunimi dhe transferimi i të dhënave personale dhe sensitive të pacientëve drejt Regjistrit Evropian të Fibrozës Kistike (ECFSPR-së) në Gjermani”</w:t>
      </w:r>
      <w:r w:rsidRPr="00D72DB6">
        <w:rPr>
          <w:rFonts w:ascii="Times New Roman" w:hAnsi="Times New Roman"/>
          <w:sz w:val="24"/>
          <w:szCs w:val="24"/>
        </w:rPr>
        <w:t>, dërguar nga Departamenti i Pediatrisë;</w:t>
      </w:r>
    </w:p>
    <w:p w:rsidR="00D72DB6" w:rsidRPr="00D72DB6" w:rsidRDefault="00D72DB6" w:rsidP="00D72DB6">
      <w:pPr>
        <w:numPr>
          <w:ilvl w:val="0"/>
          <w:numId w:val="31"/>
        </w:numPr>
        <w:spacing w:after="160"/>
        <w:contextualSpacing/>
        <w:jc w:val="both"/>
        <w:rPr>
          <w:rFonts w:ascii="Times New Roman" w:hAnsi="Times New Roman"/>
          <w:sz w:val="24"/>
          <w:szCs w:val="24"/>
        </w:rPr>
      </w:pPr>
      <w:r w:rsidRPr="00D72DB6">
        <w:rPr>
          <w:rFonts w:ascii="Times New Roman" w:hAnsi="Times New Roman"/>
          <w:sz w:val="24"/>
          <w:szCs w:val="24"/>
        </w:rPr>
        <w:t>Opinion “</w:t>
      </w:r>
      <w:r w:rsidRPr="00D72DB6">
        <w:rPr>
          <w:rFonts w:ascii="Times New Roman" w:hAnsi="Times New Roman"/>
          <w:i/>
          <w:sz w:val="24"/>
          <w:szCs w:val="24"/>
        </w:rPr>
        <w:t xml:space="preserve">Për projektin e instalimit të sistemit CCTV ne zyrat e gjendjes civile”, </w:t>
      </w:r>
      <w:r w:rsidRPr="00D72DB6">
        <w:rPr>
          <w:rFonts w:ascii="Times New Roman" w:hAnsi="Times New Roman"/>
          <w:sz w:val="24"/>
          <w:szCs w:val="24"/>
        </w:rPr>
        <w:t>dërguar nga Ministria e Brendshme;</w:t>
      </w:r>
    </w:p>
    <w:p w:rsidR="00D72DB6" w:rsidRPr="00D72DB6" w:rsidRDefault="00D72DB6" w:rsidP="00D72DB6">
      <w:pPr>
        <w:numPr>
          <w:ilvl w:val="0"/>
          <w:numId w:val="31"/>
        </w:numPr>
        <w:spacing w:after="160"/>
        <w:contextualSpacing/>
        <w:jc w:val="both"/>
        <w:rPr>
          <w:rFonts w:ascii="Times New Roman" w:hAnsi="Times New Roman"/>
          <w:sz w:val="24"/>
          <w:szCs w:val="24"/>
        </w:rPr>
      </w:pPr>
      <w:r w:rsidRPr="00D72DB6">
        <w:rPr>
          <w:rFonts w:ascii="Times New Roman" w:hAnsi="Times New Roman"/>
          <w:sz w:val="24"/>
          <w:szCs w:val="24"/>
        </w:rPr>
        <w:t>Kërkesë për rishikim opinioni “</w:t>
      </w:r>
      <w:r w:rsidRPr="00D72DB6">
        <w:rPr>
          <w:rFonts w:ascii="Times New Roman" w:hAnsi="Times New Roman"/>
          <w:i/>
          <w:sz w:val="24"/>
          <w:szCs w:val="24"/>
        </w:rPr>
        <w:t>Për veprimtarinë e sigurimit dhe risigurimit</w:t>
      </w:r>
      <w:r w:rsidRPr="00D72DB6">
        <w:rPr>
          <w:rFonts w:ascii="Times New Roman" w:hAnsi="Times New Roman"/>
          <w:sz w:val="24"/>
          <w:szCs w:val="24"/>
        </w:rPr>
        <w:t>”, dërguar nga Autoriteti i Mbikëqyrjes Financave;</w:t>
      </w:r>
    </w:p>
    <w:p w:rsidR="00D72DB6" w:rsidRPr="00D72DB6" w:rsidRDefault="00D72DB6" w:rsidP="00D72DB6">
      <w:pPr>
        <w:numPr>
          <w:ilvl w:val="0"/>
          <w:numId w:val="31"/>
        </w:numPr>
        <w:spacing w:after="160"/>
        <w:contextualSpacing/>
        <w:jc w:val="both"/>
        <w:rPr>
          <w:rFonts w:ascii="Times New Roman" w:hAnsi="Times New Roman"/>
          <w:sz w:val="24"/>
          <w:szCs w:val="24"/>
        </w:rPr>
      </w:pPr>
      <w:r w:rsidRPr="00D72DB6">
        <w:rPr>
          <w:rFonts w:ascii="Times New Roman" w:hAnsi="Times New Roman"/>
          <w:sz w:val="24"/>
          <w:szCs w:val="24"/>
        </w:rPr>
        <w:t>Mendim “</w:t>
      </w:r>
      <w:r w:rsidRPr="00D72DB6">
        <w:rPr>
          <w:rFonts w:ascii="Times New Roman" w:hAnsi="Times New Roman"/>
          <w:i/>
          <w:sz w:val="24"/>
          <w:szCs w:val="24"/>
        </w:rPr>
        <w:t>Mbi zbatimin e planit rajonal për integrimin dixhital në vijim të Samitit të Triestes</w:t>
      </w:r>
      <w:r w:rsidRPr="00D72DB6">
        <w:rPr>
          <w:rFonts w:ascii="Times New Roman" w:hAnsi="Times New Roman"/>
          <w:sz w:val="24"/>
          <w:szCs w:val="24"/>
        </w:rPr>
        <w:t>”, dërguar nga Ministri i Shtetit për Inovacion dhe Administratën Publike.</w:t>
      </w:r>
    </w:p>
    <w:p w:rsidR="00D72DB6" w:rsidRPr="00D72DB6" w:rsidRDefault="00D72DB6" w:rsidP="00D72DB6">
      <w:pPr>
        <w:pStyle w:val="Heading1"/>
        <w:spacing w:after="240"/>
        <w:rPr>
          <w:rFonts w:ascii="Times New Roman" w:hAnsi="Times New Roman" w:cs="Times New Roman"/>
          <w:b/>
          <w:sz w:val="24"/>
          <w:szCs w:val="24"/>
        </w:rPr>
      </w:pPr>
      <w:bookmarkStart w:id="49" w:name="_Toc507424911"/>
      <w:bookmarkStart w:id="50" w:name="_Toc506984751"/>
      <w:r w:rsidRPr="00D72DB6">
        <w:rPr>
          <w:rFonts w:ascii="Times New Roman" w:hAnsi="Times New Roman" w:cs="Times New Roman"/>
          <w:b/>
          <w:sz w:val="24"/>
          <w:szCs w:val="24"/>
        </w:rPr>
        <w:t>ANEKSI 3</w:t>
      </w:r>
      <w:bookmarkEnd w:id="49"/>
      <w:bookmarkEnd w:id="50"/>
    </w:p>
    <w:p w:rsidR="00D72DB6" w:rsidRPr="00D72DB6" w:rsidRDefault="00D72DB6" w:rsidP="00D72DB6">
      <w:pPr>
        <w:spacing w:after="300"/>
        <w:jc w:val="both"/>
        <w:rPr>
          <w:rFonts w:ascii="Times New Roman" w:hAnsi="Times New Roman"/>
          <w:sz w:val="24"/>
          <w:szCs w:val="24"/>
        </w:rPr>
      </w:pPr>
      <w:r w:rsidRPr="00D72DB6">
        <w:rPr>
          <w:rFonts w:ascii="Times New Roman" w:hAnsi="Times New Roman"/>
          <w:sz w:val="24"/>
          <w:szCs w:val="24"/>
        </w:rPr>
        <w:t>Në referencë të kapitullit 4 “</w:t>
      </w:r>
      <w:r w:rsidRPr="00D72DB6">
        <w:rPr>
          <w:rFonts w:ascii="Times New Roman" w:hAnsi="Times New Roman"/>
          <w:i/>
          <w:sz w:val="24"/>
          <w:szCs w:val="24"/>
        </w:rPr>
        <w:t>Veprimtaria ligjore, procedurat administrative dhe gjyqësore</w:t>
      </w:r>
      <w:r w:rsidRPr="00D72DB6">
        <w:rPr>
          <w:rFonts w:ascii="Times New Roman" w:hAnsi="Times New Roman"/>
          <w:sz w:val="24"/>
          <w:szCs w:val="24"/>
        </w:rPr>
        <w:t>” të raportit vjetor, aktet ligjore dhe nënligjore të miratuara, të cilat duhet të kishin marrë më parë mendimin e Zyrës së Komisionerit.</w:t>
      </w:r>
    </w:p>
    <w:p w:rsidR="00D72DB6" w:rsidRPr="00D72DB6" w:rsidRDefault="00D72DB6" w:rsidP="00D72DB6">
      <w:pPr>
        <w:spacing w:after="120"/>
        <w:jc w:val="both"/>
        <w:rPr>
          <w:rFonts w:ascii="Times New Roman" w:hAnsi="Times New Roman"/>
          <w:b/>
          <w:sz w:val="24"/>
          <w:szCs w:val="24"/>
        </w:rPr>
      </w:pPr>
      <w:r w:rsidRPr="00D72DB6">
        <w:rPr>
          <w:rFonts w:ascii="Times New Roman" w:hAnsi="Times New Roman"/>
          <w:b/>
          <w:sz w:val="24"/>
          <w:szCs w:val="24"/>
        </w:rPr>
        <w:t xml:space="preserve">Ligje të cilat nuk janë paraqitur për mendim: </w:t>
      </w:r>
    </w:p>
    <w:p w:rsidR="00D72DB6" w:rsidRPr="00D72DB6" w:rsidRDefault="00D72DB6" w:rsidP="00D72DB6">
      <w:pPr>
        <w:numPr>
          <w:ilvl w:val="0"/>
          <w:numId w:val="32"/>
        </w:numPr>
        <w:spacing w:after="160"/>
        <w:ind w:left="360"/>
        <w:jc w:val="both"/>
        <w:rPr>
          <w:rFonts w:ascii="Times New Roman" w:hAnsi="Times New Roman"/>
          <w:sz w:val="24"/>
          <w:szCs w:val="24"/>
        </w:rPr>
      </w:pPr>
      <w:r w:rsidRPr="00D72DB6">
        <w:rPr>
          <w:rFonts w:ascii="Times New Roman" w:hAnsi="Times New Roman"/>
          <w:sz w:val="24"/>
          <w:szCs w:val="24"/>
        </w:rPr>
        <w:t>Ligji nr.17/2017, datë 16.2.2017 “</w:t>
      </w:r>
      <w:r w:rsidRPr="00D72DB6">
        <w:rPr>
          <w:rFonts w:ascii="Times New Roman" w:hAnsi="Times New Roman"/>
          <w:i/>
          <w:sz w:val="24"/>
          <w:szCs w:val="24"/>
        </w:rPr>
        <w:t>Për disa ndryshime dhe shtesa në ligjin nr. 9947, datë 7.7.2008, “Për pronësinë industriale”</w:t>
      </w:r>
      <w:r w:rsidRPr="00D72DB6">
        <w:rPr>
          <w:rFonts w:ascii="Times New Roman" w:hAnsi="Times New Roman"/>
          <w:sz w:val="24"/>
          <w:szCs w:val="24"/>
        </w:rPr>
        <w:t xml:space="preserve">, të ndryshuar </w:t>
      </w:r>
      <w:r w:rsidRPr="00D72DB6">
        <w:rPr>
          <w:rFonts w:ascii="Times New Roman" w:hAnsi="Times New Roman"/>
          <w:i/>
          <w:iCs/>
          <w:sz w:val="24"/>
          <w:szCs w:val="24"/>
        </w:rPr>
        <w:t>(fz nr. 43/2017);</w:t>
      </w:r>
    </w:p>
    <w:p w:rsidR="00D72DB6" w:rsidRPr="00D72DB6" w:rsidRDefault="00D72DB6" w:rsidP="00D72DB6">
      <w:pPr>
        <w:numPr>
          <w:ilvl w:val="0"/>
          <w:numId w:val="32"/>
        </w:numPr>
        <w:spacing w:after="160"/>
        <w:ind w:left="360"/>
        <w:jc w:val="both"/>
        <w:rPr>
          <w:rFonts w:ascii="Times New Roman" w:hAnsi="Times New Roman"/>
          <w:sz w:val="24"/>
          <w:szCs w:val="24"/>
        </w:rPr>
      </w:pPr>
      <w:r w:rsidRPr="00D72DB6">
        <w:rPr>
          <w:rFonts w:ascii="Times New Roman" w:hAnsi="Times New Roman"/>
          <w:sz w:val="24"/>
          <w:szCs w:val="24"/>
        </w:rPr>
        <w:t>Ligji nr.18/2017, datë 23.2.2017 “</w:t>
      </w:r>
      <w:r w:rsidRPr="00D72DB6">
        <w:rPr>
          <w:rFonts w:ascii="Times New Roman" w:hAnsi="Times New Roman"/>
          <w:i/>
          <w:sz w:val="24"/>
          <w:szCs w:val="24"/>
        </w:rPr>
        <w:t>Për të drejtat dhe mbrojtjen e fëmijës</w:t>
      </w:r>
      <w:r w:rsidRPr="00D72DB6">
        <w:rPr>
          <w:rFonts w:ascii="Times New Roman" w:hAnsi="Times New Roman"/>
          <w:sz w:val="24"/>
          <w:szCs w:val="24"/>
        </w:rPr>
        <w:t xml:space="preserve">” </w:t>
      </w:r>
      <w:r w:rsidRPr="00D72DB6">
        <w:rPr>
          <w:rFonts w:ascii="Times New Roman" w:hAnsi="Times New Roman"/>
          <w:i/>
          <w:iCs/>
          <w:sz w:val="24"/>
          <w:szCs w:val="24"/>
        </w:rPr>
        <w:t>(fz nr. 43/2017);</w:t>
      </w:r>
    </w:p>
    <w:p w:rsidR="00D72DB6" w:rsidRPr="00D72DB6" w:rsidRDefault="00D72DB6" w:rsidP="00D72DB6">
      <w:pPr>
        <w:numPr>
          <w:ilvl w:val="0"/>
          <w:numId w:val="32"/>
        </w:numPr>
        <w:spacing w:after="160"/>
        <w:ind w:left="360"/>
        <w:jc w:val="both"/>
        <w:rPr>
          <w:rFonts w:ascii="Times New Roman" w:hAnsi="Times New Roman"/>
          <w:sz w:val="24"/>
          <w:szCs w:val="24"/>
        </w:rPr>
      </w:pPr>
      <w:r w:rsidRPr="00D72DB6">
        <w:rPr>
          <w:rFonts w:ascii="Times New Roman" w:hAnsi="Times New Roman"/>
          <w:sz w:val="24"/>
          <w:szCs w:val="24"/>
        </w:rPr>
        <w:t>Ligji nr.42/2017, “</w:t>
      </w:r>
      <w:r w:rsidRPr="00D72DB6">
        <w:rPr>
          <w:rFonts w:ascii="Times New Roman" w:hAnsi="Times New Roman"/>
          <w:i/>
          <w:sz w:val="24"/>
          <w:szCs w:val="24"/>
        </w:rPr>
        <w:t>Për disa ndryshime dhe shtesa në Ligjin Nr.9049, datë 10.4.2003, “Për deklarimin dhe kontrollin e pasurive, të detyrimeve financiare të të zgjedhurve dhe të disa nëpunësve publikë</w:t>
      </w:r>
      <w:r w:rsidRPr="00D72DB6">
        <w:rPr>
          <w:rFonts w:ascii="Times New Roman" w:hAnsi="Times New Roman"/>
          <w:sz w:val="24"/>
          <w:szCs w:val="24"/>
        </w:rPr>
        <w:t>”, të ndryshuar.</w:t>
      </w:r>
      <w:r w:rsidRPr="00D72DB6">
        <w:rPr>
          <w:rFonts w:ascii="Times New Roman" w:hAnsi="Times New Roman"/>
          <w:i/>
          <w:iCs/>
          <w:sz w:val="24"/>
          <w:szCs w:val="24"/>
        </w:rPr>
        <w:t xml:space="preserve"> (fz nr. 85/2017);</w:t>
      </w:r>
    </w:p>
    <w:p w:rsidR="00D72DB6" w:rsidRPr="00D72DB6" w:rsidRDefault="00D72DB6" w:rsidP="00D72DB6">
      <w:pPr>
        <w:numPr>
          <w:ilvl w:val="0"/>
          <w:numId w:val="32"/>
        </w:numPr>
        <w:spacing w:after="160"/>
        <w:ind w:left="360"/>
        <w:jc w:val="both"/>
        <w:rPr>
          <w:rFonts w:ascii="Times New Roman" w:hAnsi="Times New Roman"/>
          <w:sz w:val="24"/>
          <w:szCs w:val="24"/>
        </w:rPr>
      </w:pPr>
      <w:r w:rsidRPr="00D72DB6">
        <w:rPr>
          <w:rFonts w:ascii="Times New Roman" w:hAnsi="Times New Roman"/>
          <w:sz w:val="24"/>
          <w:szCs w:val="24"/>
        </w:rPr>
        <w:t>Ligji nr.40/2017, “</w:t>
      </w:r>
      <w:r w:rsidRPr="00D72DB6">
        <w:rPr>
          <w:rFonts w:ascii="Times New Roman" w:hAnsi="Times New Roman"/>
          <w:i/>
          <w:sz w:val="24"/>
          <w:szCs w:val="24"/>
        </w:rPr>
        <w:t>Për disa ndryshime në ligjin nr.8678, datë 14.5.2001, “Për organizimin dhe funksionimin e Ministrisë së Drejtësisë</w:t>
      </w:r>
      <w:r w:rsidRPr="00D72DB6">
        <w:rPr>
          <w:rFonts w:ascii="Times New Roman" w:hAnsi="Times New Roman"/>
          <w:sz w:val="24"/>
          <w:szCs w:val="24"/>
        </w:rPr>
        <w:t xml:space="preserve">”, të ndryshuar. </w:t>
      </w:r>
      <w:r w:rsidRPr="00D72DB6">
        <w:rPr>
          <w:rFonts w:ascii="Times New Roman" w:hAnsi="Times New Roman"/>
          <w:i/>
          <w:iCs/>
          <w:sz w:val="24"/>
          <w:szCs w:val="24"/>
        </w:rPr>
        <w:t>(fz nr.85/2017);</w:t>
      </w:r>
    </w:p>
    <w:p w:rsidR="00D72DB6" w:rsidRPr="00D72DB6" w:rsidRDefault="00D72DB6" w:rsidP="00D72DB6">
      <w:pPr>
        <w:numPr>
          <w:ilvl w:val="0"/>
          <w:numId w:val="32"/>
        </w:numPr>
        <w:spacing w:after="160"/>
        <w:ind w:left="360"/>
        <w:jc w:val="both"/>
        <w:rPr>
          <w:rFonts w:ascii="Times New Roman" w:hAnsi="Times New Roman"/>
          <w:i/>
          <w:iCs/>
          <w:sz w:val="24"/>
          <w:szCs w:val="24"/>
        </w:rPr>
      </w:pPr>
      <w:r w:rsidRPr="00D72DB6">
        <w:rPr>
          <w:rFonts w:ascii="Times New Roman" w:hAnsi="Times New Roman"/>
          <w:sz w:val="24"/>
          <w:szCs w:val="24"/>
        </w:rPr>
        <w:t>Ligji nr.55/2017, “</w:t>
      </w:r>
      <w:r w:rsidRPr="00D72DB6">
        <w:rPr>
          <w:rFonts w:ascii="Times New Roman" w:hAnsi="Times New Roman"/>
          <w:i/>
          <w:sz w:val="24"/>
          <w:szCs w:val="24"/>
        </w:rPr>
        <w:t>Për ratifikimin e ndryshimit nr. 1 të Marrëveshjes së Kredisë për eksport ndërmjet Këshillit të Ministrave të Republikës së Shqipërisë, që përfaqësohet nga Ministria e  Financave, dhe Unicredit Bank Austria ag, lidhur me financimin e projektit “Shëndetësia elektronike në Shqipëri - regjistri mbarëkombëtar i shëndetësisë elektronike</w:t>
      </w:r>
      <w:r w:rsidRPr="00D72DB6">
        <w:rPr>
          <w:rFonts w:ascii="Times New Roman" w:hAnsi="Times New Roman"/>
          <w:sz w:val="24"/>
          <w:szCs w:val="24"/>
        </w:rPr>
        <w:t xml:space="preserve">”, ratifikuar me ligjin nr. 69/2014  </w:t>
      </w:r>
      <w:r w:rsidRPr="00D72DB6">
        <w:rPr>
          <w:rFonts w:ascii="Times New Roman" w:hAnsi="Times New Roman"/>
          <w:i/>
          <w:iCs/>
          <w:sz w:val="24"/>
          <w:szCs w:val="24"/>
        </w:rPr>
        <w:t>(fz nr. 94/2017);</w:t>
      </w:r>
    </w:p>
    <w:p w:rsidR="00D72DB6" w:rsidRPr="00D72DB6" w:rsidRDefault="00D72DB6" w:rsidP="00D72DB6">
      <w:pPr>
        <w:numPr>
          <w:ilvl w:val="0"/>
          <w:numId w:val="32"/>
        </w:numPr>
        <w:spacing w:after="160"/>
        <w:ind w:left="360"/>
        <w:jc w:val="both"/>
        <w:rPr>
          <w:rFonts w:ascii="Times New Roman" w:hAnsi="Times New Roman"/>
          <w:sz w:val="24"/>
          <w:szCs w:val="24"/>
        </w:rPr>
      </w:pPr>
      <w:r w:rsidRPr="00D72DB6">
        <w:rPr>
          <w:rFonts w:ascii="Times New Roman" w:hAnsi="Times New Roman"/>
          <w:sz w:val="24"/>
          <w:szCs w:val="24"/>
        </w:rPr>
        <w:lastRenderedPageBreak/>
        <w:t>Ligji nr.69/2017, datë 27.4.2017 “</w:t>
      </w:r>
      <w:r w:rsidRPr="00D72DB6">
        <w:rPr>
          <w:rFonts w:ascii="Times New Roman" w:hAnsi="Times New Roman"/>
          <w:i/>
          <w:sz w:val="24"/>
          <w:szCs w:val="24"/>
        </w:rPr>
        <w:t>Për disa ndryshime dhe shtesa në ligjin nr. 9157, datë 4.12.2003 “Për përgjimin e komunikimeve elektronike</w:t>
      </w:r>
      <w:r w:rsidRPr="00D72DB6">
        <w:rPr>
          <w:rFonts w:ascii="Times New Roman" w:hAnsi="Times New Roman"/>
          <w:sz w:val="24"/>
          <w:szCs w:val="24"/>
        </w:rPr>
        <w:t>”, të ndryshuar.</w:t>
      </w:r>
      <w:r w:rsidRPr="00D72DB6">
        <w:rPr>
          <w:rFonts w:ascii="Times New Roman" w:hAnsi="Times New Roman"/>
          <w:i/>
          <w:iCs/>
          <w:sz w:val="24"/>
          <w:szCs w:val="24"/>
        </w:rPr>
        <w:t xml:space="preserve"> (fz nr.113/2017).</w:t>
      </w:r>
    </w:p>
    <w:p w:rsidR="00D72DB6" w:rsidRPr="00D72DB6" w:rsidRDefault="00D72DB6" w:rsidP="00D72DB6">
      <w:pPr>
        <w:numPr>
          <w:ilvl w:val="0"/>
          <w:numId w:val="32"/>
        </w:numPr>
        <w:spacing w:after="160"/>
        <w:ind w:left="360"/>
        <w:jc w:val="both"/>
        <w:rPr>
          <w:rFonts w:ascii="Times New Roman" w:hAnsi="Times New Roman"/>
          <w:sz w:val="24"/>
          <w:szCs w:val="24"/>
        </w:rPr>
      </w:pPr>
      <w:r w:rsidRPr="00D72DB6">
        <w:rPr>
          <w:rFonts w:ascii="Times New Roman" w:hAnsi="Times New Roman"/>
          <w:sz w:val="24"/>
          <w:szCs w:val="24"/>
        </w:rPr>
        <w:t>Ligji nr.90/2017, “</w:t>
      </w:r>
      <w:r w:rsidRPr="00D72DB6">
        <w:rPr>
          <w:rFonts w:ascii="Times New Roman" w:hAnsi="Times New Roman"/>
          <w:i/>
          <w:sz w:val="24"/>
          <w:szCs w:val="24"/>
        </w:rPr>
        <w:t>Për disa shtesa dhe ndryshime në ligjin nr. 8580, datë 17.2.2000 “Për partitë politike</w:t>
      </w:r>
      <w:r w:rsidRPr="00D72DB6">
        <w:rPr>
          <w:rFonts w:ascii="Times New Roman" w:hAnsi="Times New Roman"/>
          <w:sz w:val="24"/>
          <w:szCs w:val="24"/>
        </w:rPr>
        <w:t xml:space="preserve">”, të ndryshuar  </w:t>
      </w:r>
      <w:r w:rsidRPr="00D72DB6">
        <w:rPr>
          <w:rFonts w:ascii="Times New Roman" w:hAnsi="Times New Roman"/>
          <w:i/>
          <w:iCs/>
          <w:sz w:val="24"/>
          <w:szCs w:val="24"/>
        </w:rPr>
        <w:t>(fz nr. 118/2017);</w:t>
      </w:r>
    </w:p>
    <w:p w:rsidR="00D72DB6" w:rsidRPr="00D72DB6" w:rsidRDefault="00D72DB6" w:rsidP="00D72DB6">
      <w:pPr>
        <w:numPr>
          <w:ilvl w:val="0"/>
          <w:numId w:val="32"/>
        </w:numPr>
        <w:spacing w:after="300"/>
        <w:ind w:left="357" w:hanging="357"/>
        <w:jc w:val="both"/>
        <w:rPr>
          <w:rFonts w:ascii="Times New Roman" w:eastAsia="Times New Roman" w:hAnsi="Times New Roman"/>
          <w:i/>
          <w:sz w:val="24"/>
          <w:szCs w:val="24"/>
        </w:rPr>
      </w:pPr>
      <w:r w:rsidRPr="00D72DB6">
        <w:rPr>
          <w:rFonts w:ascii="Times New Roman" w:eastAsia="Times New Roman" w:hAnsi="Times New Roman"/>
          <w:sz w:val="24"/>
          <w:szCs w:val="24"/>
        </w:rPr>
        <w:t>Ligji nr.58/2017, datë 20.4.2017 “</w:t>
      </w:r>
      <w:r w:rsidRPr="00D72DB6">
        <w:rPr>
          <w:rFonts w:ascii="Times New Roman" w:eastAsia="Times New Roman" w:hAnsi="Times New Roman"/>
          <w:i/>
          <w:sz w:val="24"/>
          <w:szCs w:val="24"/>
        </w:rPr>
        <w:t>Për disa ndryshime dhe shtesa në ligjin nr. 108/2014, “Për Policinë e Shtetit”</w:t>
      </w:r>
      <w:r w:rsidRPr="00D72DB6">
        <w:rPr>
          <w:rFonts w:ascii="Times New Roman" w:eastAsia="Times New Roman" w:hAnsi="Times New Roman"/>
          <w:sz w:val="24"/>
          <w:szCs w:val="24"/>
        </w:rPr>
        <w:t>, të ndryshuar (</w:t>
      </w:r>
      <w:r w:rsidRPr="00D72DB6">
        <w:rPr>
          <w:rFonts w:ascii="Times New Roman" w:eastAsia="Times New Roman" w:hAnsi="Times New Roman"/>
          <w:i/>
          <w:sz w:val="24"/>
          <w:szCs w:val="24"/>
        </w:rPr>
        <w:t>fz nr. 102/2017).</w:t>
      </w:r>
    </w:p>
    <w:p w:rsidR="00D72DB6" w:rsidRPr="00D72DB6" w:rsidRDefault="00D72DB6" w:rsidP="00D72DB6">
      <w:pPr>
        <w:spacing w:after="120"/>
        <w:jc w:val="both"/>
        <w:rPr>
          <w:rFonts w:ascii="Times New Roman" w:hAnsi="Times New Roman"/>
          <w:b/>
          <w:iCs/>
          <w:sz w:val="24"/>
          <w:szCs w:val="24"/>
        </w:rPr>
      </w:pPr>
      <w:r w:rsidRPr="00D72DB6">
        <w:rPr>
          <w:rFonts w:ascii="Times New Roman" w:hAnsi="Times New Roman"/>
          <w:b/>
          <w:iCs/>
          <w:sz w:val="24"/>
          <w:szCs w:val="24"/>
        </w:rPr>
        <w:t>VKM të cilat nuk janë paraqitur për mendim:</w:t>
      </w:r>
    </w:p>
    <w:p w:rsidR="00D72DB6" w:rsidRPr="00D72DB6" w:rsidRDefault="00D72DB6" w:rsidP="00D72DB6">
      <w:pPr>
        <w:numPr>
          <w:ilvl w:val="0"/>
          <w:numId w:val="33"/>
        </w:numPr>
        <w:spacing w:after="160"/>
        <w:ind w:left="714" w:hanging="357"/>
        <w:jc w:val="both"/>
        <w:rPr>
          <w:rFonts w:ascii="Times New Roman" w:hAnsi="Times New Roman"/>
          <w:sz w:val="24"/>
          <w:szCs w:val="24"/>
        </w:rPr>
      </w:pPr>
      <w:r w:rsidRPr="00D72DB6">
        <w:rPr>
          <w:rFonts w:ascii="Times New Roman" w:hAnsi="Times New Roman"/>
          <w:sz w:val="24"/>
          <w:szCs w:val="24"/>
        </w:rPr>
        <w:t>VKM nr.108, datë 15.2.2017 “</w:t>
      </w:r>
      <w:r w:rsidRPr="00D72DB6">
        <w:rPr>
          <w:rFonts w:ascii="Times New Roman" w:hAnsi="Times New Roman"/>
          <w:i/>
          <w:sz w:val="24"/>
          <w:szCs w:val="24"/>
        </w:rPr>
        <w:t>Për miratimin e rregullores “Për mbrojtjen e fëmijëve në punë</w:t>
      </w:r>
      <w:r w:rsidRPr="00D72DB6">
        <w:rPr>
          <w:rFonts w:ascii="Times New Roman" w:hAnsi="Times New Roman"/>
          <w:sz w:val="24"/>
          <w:szCs w:val="24"/>
        </w:rPr>
        <w:t xml:space="preserve">” </w:t>
      </w:r>
      <w:r w:rsidRPr="00D72DB6">
        <w:rPr>
          <w:rFonts w:ascii="Times New Roman" w:hAnsi="Times New Roman"/>
          <w:i/>
          <w:iCs/>
          <w:sz w:val="24"/>
          <w:szCs w:val="24"/>
        </w:rPr>
        <w:t>(fz nr. 33/2017);</w:t>
      </w:r>
    </w:p>
    <w:p w:rsidR="00D72DB6" w:rsidRPr="00D72DB6" w:rsidRDefault="00D72DB6" w:rsidP="00D72DB6">
      <w:pPr>
        <w:numPr>
          <w:ilvl w:val="0"/>
          <w:numId w:val="33"/>
        </w:numPr>
        <w:spacing w:after="160"/>
        <w:ind w:left="714" w:hanging="357"/>
        <w:jc w:val="both"/>
        <w:rPr>
          <w:rFonts w:ascii="Times New Roman" w:hAnsi="Times New Roman"/>
          <w:sz w:val="24"/>
          <w:szCs w:val="24"/>
          <w:lang w:val="it-IT"/>
        </w:rPr>
      </w:pPr>
      <w:r w:rsidRPr="00D72DB6">
        <w:rPr>
          <w:rFonts w:ascii="Times New Roman" w:hAnsi="Times New Roman"/>
          <w:sz w:val="24"/>
          <w:szCs w:val="24"/>
        </w:rPr>
        <w:t>VKM nr.495, datë 13.9.2017 “</w:t>
      </w:r>
      <w:r w:rsidRPr="00D72DB6">
        <w:rPr>
          <w:rFonts w:ascii="Times New Roman" w:hAnsi="Times New Roman"/>
          <w:i/>
          <w:sz w:val="24"/>
          <w:szCs w:val="24"/>
        </w:rPr>
        <w:t>Për miratimin e rregullave të përfitimit të shërbimeve publike elektronike”</w:t>
      </w:r>
      <w:r w:rsidRPr="00D72DB6">
        <w:rPr>
          <w:rFonts w:ascii="Times New Roman" w:hAnsi="Times New Roman"/>
          <w:sz w:val="24"/>
          <w:szCs w:val="24"/>
        </w:rPr>
        <w:t>.</w:t>
      </w:r>
      <w:r w:rsidRPr="00D72DB6">
        <w:rPr>
          <w:rFonts w:ascii="Times New Roman" w:hAnsi="Times New Roman"/>
          <w:i/>
          <w:sz w:val="24"/>
          <w:szCs w:val="24"/>
        </w:rPr>
        <w:t xml:space="preserve"> </w:t>
      </w:r>
      <w:r w:rsidRPr="00D72DB6">
        <w:rPr>
          <w:rFonts w:ascii="Times New Roman" w:hAnsi="Times New Roman"/>
          <w:i/>
          <w:sz w:val="24"/>
          <w:szCs w:val="24"/>
          <w:lang w:val="it-IT"/>
        </w:rPr>
        <w:t>(fz nr. 166/2017);</w:t>
      </w:r>
    </w:p>
    <w:p w:rsidR="00D72DB6" w:rsidRPr="00D72DB6" w:rsidRDefault="00D72DB6" w:rsidP="00D72DB6">
      <w:pPr>
        <w:numPr>
          <w:ilvl w:val="0"/>
          <w:numId w:val="33"/>
        </w:numPr>
        <w:spacing w:after="160"/>
        <w:ind w:left="714" w:hanging="357"/>
        <w:jc w:val="both"/>
        <w:rPr>
          <w:rFonts w:ascii="Times New Roman" w:hAnsi="Times New Roman"/>
          <w:sz w:val="24"/>
          <w:szCs w:val="24"/>
          <w:lang w:val="it-IT"/>
        </w:rPr>
      </w:pPr>
      <w:r w:rsidRPr="00D72DB6">
        <w:rPr>
          <w:rFonts w:ascii="Times New Roman" w:hAnsi="Times New Roman"/>
          <w:sz w:val="24"/>
          <w:szCs w:val="24"/>
        </w:rPr>
        <w:t>VKM nr.534, datë 4.10.2017 “</w:t>
      </w:r>
      <w:r w:rsidRPr="00D72DB6">
        <w:rPr>
          <w:rFonts w:ascii="Times New Roman" w:hAnsi="Times New Roman"/>
          <w:i/>
          <w:sz w:val="24"/>
          <w:szCs w:val="24"/>
        </w:rPr>
        <w:t>Për miratimin e raportit të nëntë, të dhjetë, të njëmbëdhjetë kombëtar periodik për zbatimin e konventës ndërkombëtare të OKB-së, “Për eliminimin e të gjitha formave të diskriminimit racor</w:t>
      </w:r>
      <w:r w:rsidRPr="00D72DB6">
        <w:rPr>
          <w:rFonts w:ascii="Times New Roman" w:hAnsi="Times New Roman"/>
          <w:sz w:val="24"/>
          <w:szCs w:val="24"/>
        </w:rPr>
        <w:t>”</w:t>
      </w:r>
      <w:r w:rsidRPr="00D72DB6">
        <w:rPr>
          <w:rFonts w:ascii="Times New Roman" w:hAnsi="Times New Roman"/>
          <w:i/>
          <w:sz w:val="24"/>
          <w:szCs w:val="24"/>
          <w:lang w:val="it-IT"/>
        </w:rPr>
        <w:t xml:space="preserve"> (fz nr. 180/2017);</w:t>
      </w:r>
    </w:p>
    <w:p w:rsidR="00D72DB6" w:rsidRPr="00D72DB6" w:rsidRDefault="00D72DB6" w:rsidP="00D72DB6">
      <w:pPr>
        <w:spacing w:after="0"/>
        <w:ind w:left="360"/>
        <w:contextualSpacing/>
        <w:jc w:val="both"/>
        <w:rPr>
          <w:rFonts w:ascii="Times New Roman" w:hAnsi="Times New Roman"/>
          <w:sz w:val="24"/>
          <w:szCs w:val="24"/>
        </w:rPr>
      </w:pPr>
    </w:p>
    <w:p w:rsidR="00D72DB6" w:rsidRPr="00D72DB6" w:rsidRDefault="00D72DB6" w:rsidP="00D72DB6">
      <w:pPr>
        <w:spacing w:after="0"/>
        <w:ind w:left="360"/>
        <w:contextualSpacing/>
        <w:jc w:val="both"/>
        <w:rPr>
          <w:rFonts w:ascii="Times New Roman" w:hAnsi="Times New Roman"/>
          <w:color w:val="FF0000"/>
          <w:sz w:val="24"/>
          <w:szCs w:val="24"/>
          <w:lang w:val="it-IT"/>
        </w:rPr>
      </w:pPr>
    </w:p>
    <w:p w:rsidR="00D72DB6" w:rsidRPr="00D72DB6" w:rsidRDefault="00D72DB6" w:rsidP="00D72DB6">
      <w:pPr>
        <w:tabs>
          <w:tab w:val="left" w:pos="3055"/>
        </w:tabs>
        <w:rPr>
          <w:rFonts w:ascii="Times New Roman" w:hAnsi="Times New Roman"/>
          <w:sz w:val="24"/>
          <w:szCs w:val="24"/>
        </w:rPr>
      </w:pPr>
    </w:p>
    <w:p w:rsidR="000402D7" w:rsidRPr="00D72DB6" w:rsidRDefault="000402D7">
      <w:pPr>
        <w:rPr>
          <w:rFonts w:ascii="Times New Roman" w:hAnsi="Times New Roman"/>
          <w:sz w:val="24"/>
          <w:szCs w:val="24"/>
        </w:rPr>
      </w:pPr>
    </w:p>
    <w:sectPr w:rsidR="000402D7" w:rsidRPr="00D72DB6" w:rsidSect="003C6EA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ingLiU-ExtB">
    <w:panose1 w:val="02020500000000000000"/>
    <w:charset w:val="88"/>
    <w:family w:val="roman"/>
    <w:pitch w:val="variable"/>
    <w:sig w:usb0="8000002F" w:usb1="0A080008" w:usb2="00000010" w:usb3="00000000" w:csb0="001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80FD9"/>
    <w:multiLevelType w:val="hybridMultilevel"/>
    <w:tmpl w:val="22DE0952"/>
    <w:lvl w:ilvl="0" w:tplc="84182356">
      <w:start w:val="26"/>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9D84456"/>
    <w:multiLevelType w:val="hybridMultilevel"/>
    <w:tmpl w:val="1BCA583C"/>
    <w:lvl w:ilvl="0" w:tplc="00BEE618">
      <w:start w:val="1"/>
      <w:numFmt w:val="bullet"/>
      <w:lvlText w:val=""/>
      <w:lvlJc w:val="left"/>
      <w:pPr>
        <w:ind w:left="360" w:hanging="360"/>
      </w:pPr>
      <w:rPr>
        <w:rFonts w:ascii="Symbol" w:hAnsi="Symbol" w:hint="default"/>
      </w:rPr>
    </w:lvl>
    <w:lvl w:ilvl="1" w:tplc="041C0003">
      <w:start w:val="1"/>
      <w:numFmt w:val="bullet"/>
      <w:lvlText w:val="o"/>
      <w:lvlJc w:val="left"/>
      <w:pPr>
        <w:ind w:left="1080" w:hanging="360"/>
      </w:pPr>
      <w:rPr>
        <w:rFonts w:ascii="Courier New" w:hAnsi="Courier New" w:cs="Courier New" w:hint="default"/>
      </w:rPr>
    </w:lvl>
    <w:lvl w:ilvl="2" w:tplc="041C0005">
      <w:start w:val="1"/>
      <w:numFmt w:val="bullet"/>
      <w:lvlText w:val=""/>
      <w:lvlJc w:val="left"/>
      <w:pPr>
        <w:ind w:left="1800" w:hanging="360"/>
      </w:pPr>
      <w:rPr>
        <w:rFonts w:ascii="Wingdings" w:hAnsi="Wingdings" w:hint="default"/>
      </w:rPr>
    </w:lvl>
    <w:lvl w:ilvl="3" w:tplc="041C0001">
      <w:start w:val="1"/>
      <w:numFmt w:val="bullet"/>
      <w:lvlText w:val=""/>
      <w:lvlJc w:val="left"/>
      <w:pPr>
        <w:ind w:left="2520" w:hanging="360"/>
      </w:pPr>
      <w:rPr>
        <w:rFonts w:ascii="Symbol" w:hAnsi="Symbol" w:hint="default"/>
      </w:rPr>
    </w:lvl>
    <w:lvl w:ilvl="4" w:tplc="041C0003">
      <w:start w:val="1"/>
      <w:numFmt w:val="bullet"/>
      <w:lvlText w:val="o"/>
      <w:lvlJc w:val="left"/>
      <w:pPr>
        <w:ind w:left="3240" w:hanging="360"/>
      </w:pPr>
      <w:rPr>
        <w:rFonts w:ascii="Courier New" w:hAnsi="Courier New" w:cs="Courier New" w:hint="default"/>
      </w:rPr>
    </w:lvl>
    <w:lvl w:ilvl="5" w:tplc="041C0005">
      <w:start w:val="1"/>
      <w:numFmt w:val="bullet"/>
      <w:lvlText w:val=""/>
      <w:lvlJc w:val="left"/>
      <w:pPr>
        <w:ind w:left="3960" w:hanging="360"/>
      </w:pPr>
      <w:rPr>
        <w:rFonts w:ascii="Wingdings" w:hAnsi="Wingdings" w:hint="default"/>
      </w:rPr>
    </w:lvl>
    <w:lvl w:ilvl="6" w:tplc="041C0001">
      <w:start w:val="1"/>
      <w:numFmt w:val="bullet"/>
      <w:lvlText w:val=""/>
      <w:lvlJc w:val="left"/>
      <w:pPr>
        <w:ind w:left="4680" w:hanging="360"/>
      </w:pPr>
      <w:rPr>
        <w:rFonts w:ascii="Symbol" w:hAnsi="Symbol" w:hint="default"/>
      </w:rPr>
    </w:lvl>
    <w:lvl w:ilvl="7" w:tplc="041C0003">
      <w:start w:val="1"/>
      <w:numFmt w:val="bullet"/>
      <w:lvlText w:val="o"/>
      <w:lvlJc w:val="left"/>
      <w:pPr>
        <w:ind w:left="5400" w:hanging="360"/>
      </w:pPr>
      <w:rPr>
        <w:rFonts w:ascii="Courier New" w:hAnsi="Courier New" w:cs="Courier New" w:hint="default"/>
      </w:rPr>
    </w:lvl>
    <w:lvl w:ilvl="8" w:tplc="041C0005">
      <w:start w:val="1"/>
      <w:numFmt w:val="bullet"/>
      <w:lvlText w:val=""/>
      <w:lvlJc w:val="left"/>
      <w:pPr>
        <w:ind w:left="6120" w:hanging="360"/>
      </w:pPr>
      <w:rPr>
        <w:rFonts w:ascii="Wingdings" w:hAnsi="Wingdings" w:hint="default"/>
      </w:rPr>
    </w:lvl>
  </w:abstractNum>
  <w:abstractNum w:abstractNumId="2">
    <w:nsid w:val="0B8D5443"/>
    <w:multiLevelType w:val="hybridMultilevel"/>
    <w:tmpl w:val="7114B0B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nsid w:val="0F4446CF"/>
    <w:multiLevelType w:val="hybridMultilevel"/>
    <w:tmpl w:val="8158707A"/>
    <w:lvl w:ilvl="0" w:tplc="00BEE618">
      <w:start w:val="1"/>
      <w:numFmt w:val="bullet"/>
      <w:lvlText w:val=""/>
      <w:lvlJc w:val="left"/>
      <w:pPr>
        <w:ind w:left="360" w:hanging="360"/>
      </w:pPr>
      <w:rPr>
        <w:rFonts w:ascii="Symbol" w:hAnsi="Symbol" w:hint="default"/>
      </w:rPr>
    </w:lvl>
    <w:lvl w:ilvl="1" w:tplc="041C0003">
      <w:start w:val="1"/>
      <w:numFmt w:val="bullet"/>
      <w:lvlText w:val="o"/>
      <w:lvlJc w:val="left"/>
      <w:pPr>
        <w:ind w:left="1080" w:hanging="360"/>
      </w:pPr>
      <w:rPr>
        <w:rFonts w:ascii="Courier New" w:hAnsi="Courier New" w:cs="Courier New" w:hint="default"/>
      </w:rPr>
    </w:lvl>
    <w:lvl w:ilvl="2" w:tplc="041C0005">
      <w:start w:val="1"/>
      <w:numFmt w:val="bullet"/>
      <w:lvlText w:val=""/>
      <w:lvlJc w:val="left"/>
      <w:pPr>
        <w:ind w:left="1800" w:hanging="360"/>
      </w:pPr>
      <w:rPr>
        <w:rFonts w:ascii="Wingdings" w:hAnsi="Wingdings" w:hint="default"/>
      </w:rPr>
    </w:lvl>
    <w:lvl w:ilvl="3" w:tplc="041C0001">
      <w:start w:val="1"/>
      <w:numFmt w:val="bullet"/>
      <w:lvlText w:val=""/>
      <w:lvlJc w:val="left"/>
      <w:pPr>
        <w:ind w:left="2520" w:hanging="360"/>
      </w:pPr>
      <w:rPr>
        <w:rFonts w:ascii="Symbol" w:hAnsi="Symbol" w:hint="default"/>
      </w:rPr>
    </w:lvl>
    <w:lvl w:ilvl="4" w:tplc="041C0003">
      <w:start w:val="1"/>
      <w:numFmt w:val="bullet"/>
      <w:lvlText w:val="o"/>
      <w:lvlJc w:val="left"/>
      <w:pPr>
        <w:ind w:left="3240" w:hanging="360"/>
      </w:pPr>
      <w:rPr>
        <w:rFonts w:ascii="Courier New" w:hAnsi="Courier New" w:cs="Courier New" w:hint="default"/>
      </w:rPr>
    </w:lvl>
    <w:lvl w:ilvl="5" w:tplc="041C0005">
      <w:start w:val="1"/>
      <w:numFmt w:val="bullet"/>
      <w:lvlText w:val=""/>
      <w:lvlJc w:val="left"/>
      <w:pPr>
        <w:ind w:left="3960" w:hanging="360"/>
      </w:pPr>
      <w:rPr>
        <w:rFonts w:ascii="Wingdings" w:hAnsi="Wingdings" w:hint="default"/>
      </w:rPr>
    </w:lvl>
    <w:lvl w:ilvl="6" w:tplc="041C0001">
      <w:start w:val="1"/>
      <w:numFmt w:val="bullet"/>
      <w:lvlText w:val=""/>
      <w:lvlJc w:val="left"/>
      <w:pPr>
        <w:ind w:left="4680" w:hanging="360"/>
      </w:pPr>
      <w:rPr>
        <w:rFonts w:ascii="Symbol" w:hAnsi="Symbol" w:hint="default"/>
      </w:rPr>
    </w:lvl>
    <w:lvl w:ilvl="7" w:tplc="041C0003">
      <w:start w:val="1"/>
      <w:numFmt w:val="bullet"/>
      <w:lvlText w:val="o"/>
      <w:lvlJc w:val="left"/>
      <w:pPr>
        <w:ind w:left="5400" w:hanging="360"/>
      </w:pPr>
      <w:rPr>
        <w:rFonts w:ascii="Courier New" w:hAnsi="Courier New" w:cs="Courier New" w:hint="default"/>
      </w:rPr>
    </w:lvl>
    <w:lvl w:ilvl="8" w:tplc="041C0005">
      <w:start w:val="1"/>
      <w:numFmt w:val="bullet"/>
      <w:lvlText w:val=""/>
      <w:lvlJc w:val="left"/>
      <w:pPr>
        <w:ind w:left="6120" w:hanging="360"/>
      </w:pPr>
      <w:rPr>
        <w:rFonts w:ascii="Wingdings" w:hAnsi="Wingdings" w:hint="default"/>
      </w:rPr>
    </w:lvl>
  </w:abstractNum>
  <w:abstractNum w:abstractNumId="4">
    <w:nsid w:val="102F06C0"/>
    <w:multiLevelType w:val="hybridMultilevel"/>
    <w:tmpl w:val="33584642"/>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start w:val="1"/>
      <w:numFmt w:val="bullet"/>
      <w:lvlText w:val=""/>
      <w:lvlJc w:val="left"/>
      <w:pPr>
        <w:ind w:left="2160" w:hanging="360"/>
      </w:pPr>
      <w:rPr>
        <w:rFonts w:ascii="Wingdings" w:hAnsi="Wingdings" w:hint="default"/>
      </w:rPr>
    </w:lvl>
    <w:lvl w:ilvl="3" w:tplc="041C0001">
      <w:start w:val="1"/>
      <w:numFmt w:val="bullet"/>
      <w:lvlText w:val=""/>
      <w:lvlJc w:val="left"/>
      <w:pPr>
        <w:ind w:left="2880" w:hanging="360"/>
      </w:pPr>
      <w:rPr>
        <w:rFonts w:ascii="Symbol" w:hAnsi="Symbol" w:hint="default"/>
      </w:rPr>
    </w:lvl>
    <w:lvl w:ilvl="4" w:tplc="041C0003">
      <w:start w:val="1"/>
      <w:numFmt w:val="bullet"/>
      <w:lvlText w:val="o"/>
      <w:lvlJc w:val="left"/>
      <w:pPr>
        <w:ind w:left="3600" w:hanging="360"/>
      </w:pPr>
      <w:rPr>
        <w:rFonts w:ascii="Courier New" w:hAnsi="Courier New" w:cs="Courier New" w:hint="default"/>
      </w:rPr>
    </w:lvl>
    <w:lvl w:ilvl="5" w:tplc="041C0005">
      <w:start w:val="1"/>
      <w:numFmt w:val="bullet"/>
      <w:lvlText w:val=""/>
      <w:lvlJc w:val="left"/>
      <w:pPr>
        <w:ind w:left="4320" w:hanging="360"/>
      </w:pPr>
      <w:rPr>
        <w:rFonts w:ascii="Wingdings" w:hAnsi="Wingdings" w:hint="default"/>
      </w:rPr>
    </w:lvl>
    <w:lvl w:ilvl="6" w:tplc="041C0001">
      <w:start w:val="1"/>
      <w:numFmt w:val="bullet"/>
      <w:lvlText w:val=""/>
      <w:lvlJc w:val="left"/>
      <w:pPr>
        <w:ind w:left="5040" w:hanging="360"/>
      </w:pPr>
      <w:rPr>
        <w:rFonts w:ascii="Symbol" w:hAnsi="Symbol" w:hint="default"/>
      </w:rPr>
    </w:lvl>
    <w:lvl w:ilvl="7" w:tplc="041C0003">
      <w:start w:val="1"/>
      <w:numFmt w:val="bullet"/>
      <w:lvlText w:val="o"/>
      <w:lvlJc w:val="left"/>
      <w:pPr>
        <w:ind w:left="5760" w:hanging="360"/>
      </w:pPr>
      <w:rPr>
        <w:rFonts w:ascii="Courier New" w:hAnsi="Courier New" w:cs="Courier New" w:hint="default"/>
      </w:rPr>
    </w:lvl>
    <w:lvl w:ilvl="8" w:tplc="041C0005">
      <w:start w:val="1"/>
      <w:numFmt w:val="bullet"/>
      <w:lvlText w:val=""/>
      <w:lvlJc w:val="left"/>
      <w:pPr>
        <w:ind w:left="6480" w:hanging="360"/>
      </w:pPr>
      <w:rPr>
        <w:rFonts w:ascii="Wingdings" w:hAnsi="Wingdings" w:hint="default"/>
      </w:rPr>
    </w:lvl>
  </w:abstractNum>
  <w:abstractNum w:abstractNumId="5">
    <w:nsid w:val="10DD2AE8"/>
    <w:multiLevelType w:val="hybridMultilevel"/>
    <w:tmpl w:val="6CC0A1DE"/>
    <w:lvl w:ilvl="0" w:tplc="5C56D588">
      <w:start w:val="11"/>
      <w:numFmt w:val="bullet"/>
      <w:lvlText w:val="-"/>
      <w:lvlJc w:val="left"/>
      <w:pPr>
        <w:ind w:left="360" w:hanging="360"/>
      </w:pPr>
      <w:rPr>
        <w:rFonts w:ascii="Times New Roman" w:eastAsia="Calibri" w:hAnsi="Times New Roman" w:cs="Times New Roman" w:hint="default"/>
      </w:rPr>
    </w:lvl>
    <w:lvl w:ilvl="1" w:tplc="041C0003">
      <w:start w:val="1"/>
      <w:numFmt w:val="bullet"/>
      <w:lvlText w:val="o"/>
      <w:lvlJc w:val="left"/>
      <w:pPr>
        <w:ind w:left="1080" w:hanging="360"/>
      </w:pPr>
      <w:rPr>
        <w:rFonts w:ascii="Courier New" w:hAnsi="Courier New" w:cs="Courier New" w:hint="default"/>
      </w:rPr>
    </w:lvl>
    <w:lvl w:ilvl="2" w:tplc="041C0005">
      <w:start w:val="1"/>
      <w:numFmt w:val="bullet"/>
      <w:lvlText w:val=""/>
      <w:lvlJc w:val="left"/>
      <w:pPr>
        <w:ind w:left="1800" w:hanging="360"/>
      </w:pPr>
      <w:rPr>
        <w:rFonts w:ascii="Wingdings" w:hAnsi="Wingdings" w:hint="default"/>
      </w:rPr>
    </w:lvl>
    <w:lvl w:ilvl="3" w:tplc="041C0001">
      <w:start w:val="1"/>
      <w:numFmt w:val="bullet"/>
      <w:lvlText w:val=""/>
      <w:lvlJc w:val="left"/>
      <w:pPr>
        <w:ind w:left="2520" w:hanging="360"/>
      </w:pPr>
      <w:rPr>
        <w:rFonts w:ascii="Symbol" w:hAnsi="Symbol" w:hint="default"/>
      </w:rPr>
    </w:lvl>
    <w:lvl w:ilvl="4" w:tplc="041C0003">
      <w:start w:val="1"/>
      <w:numFmt w:val="bullet"/>
      <w:lvlText w:val="o"/>
      <w:lvlJc w:val="left"/>
      <w:pPr>
        <w:ind w:left="3240" w:hanging="360"/>
      </w:pPr>
      <w:rPr>
        <w:rFonts w:ascii="Courier New" w:hAnsi="Courier New" w:cs="Courier New" w:hint="default"/>
      </w:rPr>
    </w:lvl>
    <w:lvl w:ilvl="5" w:tplc="041C0005">
      <w:start w:val="1"/>
      <w:numFmt w:val="bullet"/>
      <w:lvlText w:val=""/>
      <w:lvlJc w:val="left"/>
      <w:pPr>
        <w:ind w:left="3960" w:hanging="360"/>
      </w:pPr>
      <w:rPr>
        <w:rFonts w:ascii="Wingdings" w:hAnsi="Wingdings" w:hint="default"/>
      </w:rPr>
    </w:lvl>
    <w:lvl w:ilvl="6" w:tplc="041C0001">
      <w:start w:val="1"/>
      <w:numFmt w:val="bullet"/>
      <w:lvlText w:val=""/>
      <w:lvlJc w:val="left"/>
      <w:pPr>
        <w:ind w:left="4680" w:hanging="360"/>
      </w:pPr>
      <w:rPr>
        <w:rFonts w:ascii="Symbol" w:hAnsi="Symbol" w:hint="default"/>
      </w:rPr>
    </w:lvl>
    <w:lvl w:ilvl="7" w:tplc="041C0003">
      <w:start w:val="1"/>
      <w:numFmt w:val="bullet"/>
      <w:lvlText w:val="o"/>
      <w:lvlJc w:val="left"/>
      <w:pPr>
        <w:ind w:left="5400" w:hanging="360"/>
      </w:pPr>
      <w:rPr>
        <w:rFonts w:ascii="Courier New" w:hAnsi="Courier New" w:cs="Courier New" w:hint="default"/>
      </w:rPr>
    </w:lvl>
    <w:lvl w:ilvl="8" w:tplc="041C0005">
      <w:start w:val="1"/>
      <w:numFmt w:val="bullet"/>
      <w:lvlText w:val=""/>
      <w:lvlJc w:val="left"/>
      <w:pPr>
        <w:ind w:left="6120" w:hanging="360"/>
      </w:pPr>
      <w:rPr>
        <w:rFonts w:ascii="Wingdings" w:hAnsi="Wingdings" w:hint="default"/>
      </w:rPr>
    </w:lvl>
  </w:abstractNum>
  <w:abstractNum w:abstractNumId="6">
    <w:nsid w:val="13E200A9"/>
    <w:multiLevelType w:val="multilevel"/>
    <w:tmpl w:val="7A94DC84"/>
    <w:lvl w:ilvl="0">
      <w:start w:val="1"/>
      <w:numFmt w:val="decimal"/>
      <w:lvlText w:val="%1."/>
      <w:lvlJc w:val="left"/>
      <w:pPr>
        <w:ind w:left="360" w:hanging="360"/>
      </w:pPr>
      <w:rPr>
        <w:b/>
      </w:r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7">
    <w:nsid w:val="14275850"/>
    <w:multiLevelType w:val="hybridMultilevel"/>
    <w:tmpl w:val="5C3CF6A0"/>
    <w:lvl w:ilvl="0" w:tplc="0409000B">
      <w:start w:val="1"/>
      <w:numFmt w:val="bullet"/>
      <w:lvlText w:val=""/>
      <w:lvlJc w:val="left"/>
      <w:pPr>
        <w:ind w:left="360" w:hanging="360"/>
      </w:pPr>
      <w:rPr>
        <w:rFonts w:ascii="Wingdings" w:hAnsi="Wingdings" w:hint="default"/>
      </w:rPr>
    </w:lvl>
    <w:lvl w:ilvl="1" w:tplc="041C0003">
      <w:start w:val="1"/>
      <w:numFmt w:val="bullet"/>
      <w:lvlText w:val="o"/>
      <w:lvlJc w:val="left"/>
      <w:pPr>
        <w:ind w:left="1080" w:hanging="360"/>
      </w:pPr>
      <w:rPr>
        <w:rFonts w:ascii="Courier New" w:hAnsi="Courier New" w:cs="Courier New" w:hint="default"/>
      </w:rPr>
    </w:lvl>
    <w:lvl w:ilvl="2" w:tplc="041C0005">
      <w:start w:val="1"/>
      <w:numFmt w:val="bullet"/>
      <w:lvlText w:val=""/>
      <w:lvlJc w:val="left"/>
      <w:pPr>
        <w:ind w:left="1800" w:hanging="360"/>
      </w:pPr>
      <w:rPr>
        <w:rFonts w:ascii="Wingdings" w:hAnsi="Wingdings" w:hint="default"/>
      </w:rPr>
    </w:lvl>
    <w:lvl w:ilvl="3" w:tplc="041C0001">
      <w:start w:val="1"/>
      <w:numFmt w:val="bullet"/>
      <w:lvlText w:val=""/>
      <w:lvlJc w:val="left"/>
      <w:pPr>
        <w:ind w:left="2520" w:hanging="360"/>
      </w:pPr>
      <w:rPr>
        <w:rFonts w:ascii="Symbol" w:hAnsi="Symbol" w:hint="default"/>
      </w:rPr>
    </w:lvl>
    <w:lvl w:ilvl="4" w:tplc="041C0003">
      <w:start w:val="1"/>
      <w:numFmt w:val="bullet"/>
      <w:lvlText w:val="o"/>
      <w:lvlJc w:val="left"/>
      <w:pPr>
        <w:ind w:left="3240" w:hanging="360"/>
      </w:pPr>
      <w:rPr>
        <w:rFonts w:ascii="Courier New" w:hAnsi="Courier New" w:cs="Courier New" w:hint="default"/>
      </w:rPr>
    </w:lvl>
    <w:lvl w:ilvl="5" w:tplc="041C0005">
      <w:start w:val="1"/>
      <w:numFmt w:val="bullet"/>
      <w:lvlText w:val=""/>
      <w:lvlJc w:val="left"/>
      <w:pPr>
        <w:ind w:left="3960" w:hanging="360"/>
      </w:pPr>
      <w:rPr>
        <w:rFonts w:ascii="Wingdings" w:hAnsi="Wingdings" w:hint="default"/>
      </w:rPr>
    </w:lvl>
    <w:lvl w:ilvl="6" w:tplc="041C0001">
      <w:start w:val="1"/>
      <w:numFmt w:val="bullet"/>
      <w:lvlText w:val=""/>
      <w:lvlJc w:val="left"/>
      <w:pPr>
        <w:ind w:left="4680" w:hanging="360"/>
      </w:pPr>
      <w:rPr>
        <w:rFonts w:ascii="Symbol" w:hAnsi="Symbol" w:hint="default"/>
      </w:rPr>
    </w:lvl>
    <w:lvl w:ilvl="7" w:tplc="041C0003">
      <w:start w:val="1"/>
      <w:numFmt w:val="bullet"/>
      <w:lvlText w:val="o"/>
      <w:lvlJc w:val="left"/>
      <w:pPr>
        <w:ind w:left="5400" w:hanging="360"/>
      </w:pPr>
      <w:rPr>
        <w:rFonts w:ascii="Courier New" w:hAnsi="Courier New" w:cs="Courier New" w:hint="default"/>
      </w:rPr>
    </w:lvl>
    <w:lvl w:ilvl="8" w:tplc="041C0005">
      <w:start w:val="1"/>
      <w:numFmt w:val="bullet"/>
      <w:lvlText w:val=""/>
      <w:lvlJc w:val="left"/>
      <w:pPr>
        <w:ind w:left="6120" w:hanging="360"/>
      </w:pPr>
      <w:rPr>
        <w:rFonts w:ascii="Wingdings" w:hAnsi="Wingdings" w:hint="default"/>
      </w:rPr>
    </w:lvl>
  </w:abstractNum>
  <w:abstractNum w:abstractNumId="8">
    <w:nsid w:val="164339E9"/>
    <w:multiLevelType w:val="hybridMultilevel"/>
    <w:tmpl w:val="A642C1DC"/>
    <w:lvl w:ilvl="0" w:tplc="041C0019">
      <w:start w:val="1"/>
      <w:numFmt w:val="lowerLetter"/>
      <w:lvlText w:val="%1."/>
      <w:lvlJc w:val="left"/>
      <w:pPr>
        <w:ind w:left="360" w:hanging="360"/>
      </w:pPr>
    </w:lvl>
    <w:lvl w:ilvl="1" w:tplc="041C0019">
      <w:start w:val="1"/>
      <w:numFmt w:val="lowerLetter"/>
      <w:lvlText w:val="%2."/>
      <w:lvlJc w:val="left"/>
      <w:pPr>
        <w:ind w:left="1080" w:hanging="360"/>
      </w:pPr>
    </w:lvl>
    <w:lvl w:ilvl="2" w:tplc="041C001B">
      <w:start w:val="1"/>
      <w:numFmt w:val="lowerRoman"/>
      <w:lvlText w:val="%3."/>
      <w:lvlJc w:val="right"/>
      <w:pPr>
        <w:ind w:left="1800" w:hanging="180"/>
      </w:pPr>
    </w:lvl>
    <w:lvl w:ilvl="3" w:tplc="041C000F">
      <w:start w:val="1"/>
      <w:numFmt w:val="decimal"/>
      <w:lvlText w:val="%4."/>
      <w:lvlJc w:val="left"/>
      <w:pPr>
        <w:ind w:left="2520" w:hanging="360"/>
      </w:pPr>
    </w:lvl>
    <w:lvl w:ilvl="4" w:tplc="041C0019">
      <w:start w:val="1"/>
      <w:numFmt w:val="lowerLetter"/>
      <w:lvlText w:val="%5."/>
      <w:lvlJc w:val="left"/>
      <w:pPr>
        <w:ind w:left="3240" w:hanging="360"/>
      </w:pPr>
    </w:lvl>
    <w:lvl w:ilvl="5" w:tplc="041C001B">
      <w:start w:val="1"/>
      <w:numFmt w:val="lowerRoman"/>
      <w:lvlText w:val="%6."/>
      <w:lvlJc w:val="right"/>
      <w:pPr>
        <w:ind w:left="3960" w:hanging="180"/>
      </w:pPr>
    </w:lvl>
    <w:lvl w:ilvl="6" w:tplc="041C000F">
      <w:start w:val="1"/>
      <w:numFmt w:val="decimal"/>
      <w:lvlText w:val="%7."/>
      <w:lvlJc w:val="left"/>
      <w:pPr>
        <w:ind w:left="4680" w:hanging="360"/>
      </w:pPr>
    </w:lvl>
    <w:lvl w:ilvl="7" w:tplc="041C0019">
      <w:start w:val="1"/>
      <w:numFmt w:val="lowerLetter"/>
      <w:lvlText w:val="%8."/>
      <w:lvlJc w:val="left"/>
      <w:pPr>
        <w:ind w:left="5400" w:hanging="360"/>
      </w:pPr>
    </w:lvl>
    <w:lvl w:ilvl="8" w:tplc="041C001B">
      <w:start w:val="1"/>
      <w:numFmt w:val="lowerRoman"/>
      <w:lvlText w:val="%9."/>
      <w:lvlJc w:val="right"/>
      <w:pPr>
        <w:ind w:left="6120" w:hanging="180"/>
      </w:pPr>
    </w:lvl>
  </w:abstractNum>
  <w:abstractNum w:abstractNumId="9">
    <w:nsid w:val="1986590E"/>
    <w:multiLevelType w:val="hybridMultilevel"/>
    <w:tmpl w:val="C0C841D0"/>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nsid w:val="260B3BF2"/>
    <w:multiLevelType w:val="hybridMultilevel"/>
    <w:tmpl w:val="ED94EB04"/>
    <w:lvl w:ilvl="0" w:tplc="00BEE618">
      <w:start w:val="1"/>
      <w:numFmt w:val="bullet"/>
      <w:lvlText w:val=""/>
      <w:lvlJc w:val="left"/>
      <w:pPr>
        <w:ind w:left="360" w:hanging="360"/>
      </w:pPr>
      <w:rPr>
        <w:rFonts w:ascii="Symbol" w:hAnsi="Symbol" w:hint="default"/>
      </w:rPr>
    </w:lvl>
    <w:lvl w:ilvl="1" w:tplc="041C0003">
      <w:start w:val="1"/>
      <w:numFmt w:val="bullet"/>
      <w:lvlText w:val="o"/>
      <w:lvlJc w:val="left"/>
      <w:pPr>
        <w:ind w:left="1080" w:hanging="360"/>
      </w:pPr>
      <w:rPr>
        <w:rFonts w:ascii="Courier New" w:hAnsi="Courier New" w:cs="Courier New" w:hint="default"/>
      </w:rPr>
    </w:lvl>
    <w:lvl w:ilvl="2" w:tplc="041C0005">
      <w:start w:val="1"/>
      <w:numFmt w:val="bullet"/>
      <w:lvlText w:val=""/>
      <w:lvlJc w:val="left"/>
      <w:pPr>
        <w:ind w:left="1800" w:hanging="360"/>
      </w:pPr>
      <w:rPr>
        <w:rFonts w:ascii="Wingdings" w:hAnsi="Wingdings" w:hint="default"/>
      </w:rPr>
    </w:lvl>
    <w:lvl w:ilvl="3" w:tplc="041C0001">
      <w:start w:val="1"/>
      <w:numFmt w:val="bullet"/>
      <w:lvlText w:val=""/>
      <w:lvlJc w:val="left"/>
      <w:pPr>
        <w:ind w:left="2520" w:hanging="360"/>
      </w:pPr>
      <w:rPr>
        <w:rFonts w:ascii="Symbol" w:hAnsi="Symbol" w:hint="default"/>
      </w:rPr>
    </w:lvl>
    <w:lvl w:ilvl="4" w:tplc="041C0003">
      <w:start w:val="1"/>
      <w:numFmt w:val="bullet"/>
      <w:lvlText w:val="o"/>
      <w:lvlJc w:val="left"/>
      <w:pPr>
        <w:ind w:left="3240" w:hanging="360"/>
      </w:pPr>
      <w:rPr>
        <w:rFonts w:ascii="Courier New" w:hAnsi="Courier New" w:cs="Courier New" w:hint="default"/>
      </w:rPr>
    </w:lvl>
    <w:lvl w:ilvl="5" w:tplc="041C0005">
      <w:start w:val="1"/>
      <w:numFmt w:val="bullet"/>
      <w:lvlText w:val=""/>
      <w:lvlJc w:val="left"/>
      <w:pPr>
        <w:ind w:left="3960" w:hanging="360"/>
      </w:pPr>
      <w:rPr>
        <w:rFonts w:ascii="Wingdings" w:hAnsi="Wingdings" w:hint="default"/>
      </w:rPr>
    </w:lvl>
    <w:lvl w:ilvl="6" w:tplc="041C0001">
      <w:start w:val="1"/>
      <w:numFmt w:val="bullet"/>
      <w:lvlText w:val=""/>
      <w:lvlJc w:val="left"/>
      <w:pPr>
        <w:ind w:left="4680" w:hanging="360"/>
      </w:pPr>
      <w:rPr>
        <w:rFonts w:ascii="Symbol" w:hAnsi="Symbol" w:hint="default"/>
      </w:rPr>
    </w:lvl>
    <w:lvl w:ilvl="7" w:tplc="041C0003">
      <w:start w:val="1"/>
      <w:numFmt w:val="bullet"/>
      <w:lvlText w:val="o"/>
      <w:lvlJc w:val="left"/>
      <w:pPr>
        <w:ind w:left="5400" w:hanging="360"/>
      </w:pPr>
      <w:rPr>
        <w:rFonts w:ascii="Courier New" w:hAnsi="Courier New" w:cs="Courier New" w:hint="default"/>
      </w:rPr>
    </w:lvl>
    <w:lvl w:ilvl="8" w:tplc="041C0005">
      <w:start w:val="1"/>
      <w:numFmt w:val="bullet"/>
      <w:lvlText w:val=""/>
      <w:lvlJc w:val="left"/>
      <w:pPr>
        <w:ind w:left="6120" w:hanging="360"/>
      </w:pPr>
      <w:rPr>
        <w:rFonts w:ascii="Wingdings" w:hAnsi="Wingdings" w:hint="default"/>
      </w:rPr>
    </w:lvl>
  </w:abstractNum>
  <w:abstractNum w:abstractNumId="11">
    <w:nsid w:val="295F52F6"/>
    <w:multiLevelType w:val="hybridMultilevel"/>
    <w:tmpl w:val="B2C6DB94"/>
    <w:lvl w:ilvl="0" w:tplc="B8A664AC">
      <w:start w:val="7"/>
      <w:numFmt w:val="bullet"/>
      <w:lvlText w:val="-"/>
      <w:lvlJc w:val="left"/>
      <w:pPr>
        <w:ind w:left="405" w:hanging="360"/>
      </w:pPr>
      <w:rPr>
        <w:rFonts w:ascii="Calibri" w:eastAsia="Calibri" w:hAnsi="Calibri" w:cs="Calibri" w:hint="default"/>
      </w:rPr>
    </w:lvl>
    <w:lvl w:ilvl="1" w:tplc="041C0003">
      <w:start w:val="1"/>
      <w:numFmt w:val="bullet"/>
      <w:lvlText w:val="o"/>
      <w:lvlJc w:val="left"/>
      <w:pPr>
        <w:ind w:left="1125" w:hanging="360"/>
      </w:pPr>
      <w:rPr>
        <w:rFonts w:ascii="Courier New" w:hAnsi="Courier New" w:cs="Courier New" w:hint="default"/>
      </w:rPr>
    </w:lvl>
    <w:lvl w:ilvl="2" w:tplc="041C0005">
      <w:start w:val="1"/>
      <w:numFmt w:val="bullet"/>
      <w:lvlText w:val=""/>
      <w:lvlJc w:val="left"/>
      <w:pPr>
        <w:ind w:left="1845" w:hanging="360"/>
      </w:pPr>
      <w:rPr>
        <w:rFonts w:ascii="Wingdings" w:hAnsi="Wingdings" w:hint="default"/>
      </w:rPr>
    </w:lvl>
    <w:lvl w:ilvl="3" w:tplc="041C0001">
      <w:start w:val="1"/>
      <w:numFmt w:val="bullet"/>
      <w:lvlText w:val=""/>
      <w:lvlJc w:val="left"/>
      <w:pPr>
        <w:ind w:left="2565" w:hanging="360"/>
      </w:pPr>
      <w:rPr>
        <w:rFonts w:ascii="Symbol" w:hAnsi="Symbol" w:hint="default"/>
      </w:rPr>
    </w:lvl>
    <w:lvl w:ilvl="4" w:tplc="041C0003">
      <w:start w:val="1"/>
      <w:numFmt w:val="bullet"/>
      <w:lvlText w:val="o"/>
      <w:lvlJc w:val="left"/>
      <w:pPr>
        <w:ind w:left="3285" w:hanging="360"/>
      </w:pPr>
      <w:rPr>
        <w:rFonts w:ascii="Courier New" w:hAnsi="Courier New" w:cs="Courier New" w:hint="default"/>
      </w:rPr>
    </w:lvl>
    <w:lvl w:ilvl="5" w:tplc="041C0005">
      <w:start w:val="1"/>
      <w:numFmt w:val="bullet"/>
      <w:lvlText w:val=""/>
      <w:lvlJc w:val="left"/>
      <w:pPr>
        <w:ind w:left="4005" w:hanging="360"/>
      </w:pPr>
      <w:rPr>
        <w:rFonts w:ascii="Wingdings" w:hAnsi="Wingdings" w:hint="default"/>
      </w:rPr>
    </w:lvl>
    <w:lvl w:ilvl="6" w:tplc="041C0001">
      <w:start w:val="1"/>
      <w:numFmt w:val="bullet"/>
      <w:lvlText w:val=""/>
      <w:lvlJc w:val="left"/>
      <w:pPr>
        <w:ind w:left="4725" w:hanging="360"/>
      </w:pPr>
      <w:rPr>
        <w:rFonts w:ascii="Symbol" w:hAnsi="Symbol" w:hint="default"/>
      </w:rPr>
    </w:lvl>
    <w:lvl w:ilvl="7" w:tplc="041C0003">
      <w:start w:val="1"/>
      <w:numFmt w:val="bullet"/>
      <w:lvlText w:val="o"/>
      <w:lvlJc w:val="left"/>
      <w:pPr>
        <w:ind w:left="5445" w:hanging="360"/>
      </w:pPr>
      <w:rPr>
        <w:rFonts w:ascii="Courier New" w:hAnsi="Courier New" w:cs="Courier New" w:hint="default"/>
      </w:rPr>
    </w:lvl>
    <w:lvl w:ilvl="8" w:tplc="041C0005">
      <w:start w:val="1"/>
      <w:numFmt w:val="bullet"/>
      <w:lvlText w:val=""/>
      <w:lvlJc w:val="left"/>
      <w:pPr>
        <w:ind w:left="6165" w:hanging="360"/>
      </w:pPr>
      <w:rPr>
        <w:rFonts w:ascii="Wingdings" w:hAnsi="Wingdings" w:hint="default"/>
      </w:rPr>
    </w:lvl>
  </w:abstractNum>
  <w:abstractNum w:abstractNumId="12">
    <w:nsid w:val="38A41DB1"/>
    <w:multiLevelType w:val="hybridMultilevel"/>
    <w:tmpl w:val="986E22CE"/>
    <w:lvl w:ilvl="0" w:tplc="BC189F02">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nsid w:val="3BEF6E0F"/>
    <w:multiLevelType w:val="hybridMultilevel"/>
    <w:tmpl w:val="484A94B0"/>
    <w:lvl w:ilvl="0" w:tplc="00BEE618">
      <w:start w:val="1"/>
      <w:numFmt w:val="bullet"/>
      <w:lvlText w:val=""/>
      <w:lvlJc w:val="left"/>
      <w:pPr>
        <w:ind w:left="360" w:hanging="360"/>
      </w:pPr>
      <w:rPr>
        <w:rFonts w:ascii="Symbol" w:hAnsi="Symbol" w:hint="default"/>
      </w:rPr>
    </w:lvl>
    <w:lvl w:ilvl="1" w:tplc="041C0003">
      <w:start w:val="1"/>
      <w:numFmt w:val="bullet"/>
      <w:lvlText w:val="o"/>
      <w:lvlJc w:val="left"/>
      <w:pPr>
        <w:ind w:left="1080" w:hanging="360"/>
      </w:pPr>
      <w:rPr>
        <w:rFonts w:ascii="Courier New" w:hAnsi="Courier New" w:cs="Courier New" w:hint="default"/>
      </w:rPr>
    </w:lvl>
    <w:lvl w:ilvl="2" w:tplc="041C0005">
      <w:start w:val="1"/>
      <w:numFmt w:val="bullet"/>
      <w:lvlText w:val=""/>
      <w:lvlJc w:val="left"/>
      <w:pPr>
        <w:ind w:left="1800" w:hanging="360"/>
      </w:pPr>
      <w:rPr>
        <w:rFonts w:ascii="Wingdings" w:hAnsi="Wingdings" w:hint="default"/>
      </w:rPr>
    </w:lvl>
    <w:lvl w:ilvl="3" w:tplc="041C0001">
      <w:start w:val="1"/>
      <w:numFmt w:val="bullet"/>
      <w:lvlText w:val=""/>
      <w:lvlJc w:val="left"/>
      <w:pPr>
        <w:ind w:left="2520" w:hanging="360"/>
      </w:pPr>
      <w:rPr>
        <w:rFonts w:ascii="Symbol" w:hAnsi="Symbol" w:hint="default"/>
      </w:rPr>
    </w:lvl>
    <w:lvl w:ilvl="4" w:tplc="041C0003">
      <w:start w:val="1"/>
      <w:numFmt w:val="bullet"/>
      <w:lvlText w:val="o"/>
      <w:lvlJc w:val="left"/>
      <w:pPr>
        <w:ind w:left="3240" w:hanging="360"/>
      </w:pPr>
      <w:rPr>
        <w:rFonts w:ascii="Courier New" w:hAnsi="Courier New" w:cs="Courier New" w:hint="default"/>
      </w:rPr>
    </w:lvl>
    <w:lvl w:ilvl="5" w:tplc="041C0005">
      <w:start w:val="1"/>
      <w:numFmt w:val="bullet"/>
      <w:lvlText w:val=""/>
      <w:lvlJc w:val="left"/>
      <w:pPr>
        <w:ind w:left="3960" w:hanging="360"/>
      </w:pPr>
      <w:rPr>
        <w:rFonts w:ascii="Wingdings" w:hAnsi="Wingdings" w:hint="default"/>
      </w:rPr>
    </w:lvl>
    <w:lvl w:ilvl="6" w:tplc="041C0001">
      <w:start w:val="1"/>
      <w:numFmt w:val="bullet"/>
      <w:lvlText w:val=""/>
      <w:lvlJc w:val="left"/>
      <w:pPr>
        <w:ind w:left="4680" w:hanging="360"/>
      </w:pPr>
      <w:rPr>
        <w:rFonts w:ascii="Symbol" w:hAnsi="Symbol" w:hint="default"/>
      </w:rPr>
    </w:lvl>
    <w:lvl w:ilvl="7" w:tplc="041C0003">
      <w:start w:val="1"/>
      <w:numFmt w:val="bullet"/>
      <w:lvlText w:val="o"/>
      <w:lvlJc w:val="left"/>
      <w:pPr>
        <w:ind w:left="5400" w:hanging="360"/>
      </w:pPr>
      <w:rPr>
        <w:rFonts w:ascii="Courier New" w:hAnsi="Courier New" w:cs="Courier New" w:hint="default"/>
      </w:rPr>
    </w:lvl>
    <w:lvl w:ilvl="8" w:tplc="041C0005">
      <w:start w:val="1"/>
      <w:numFmt w:val="bullet"/>
      <w:lvlText w:val=""/>
      <w:lvlJc w:val="left"/>
      <w:pPr>
        <w:ind w:left="6120" w:hanging="360"/>
      </w:pPr>
      <w:rPr>
        <w:rFonts w:ascii="Wingdings" w:hAnsi="Wingdings" w:hint="default"/>
      </w:rPr>
    </w:lvl>
  </w:abstractNum>
  <w:abstractNum w:abstractNumId="14">
    <w:nsid w:val="3DB10011"/>
    <w:multiLevelType w:val="hybridMultilevel"/>
    <w:tmpl w:val="DB54CF68"/>
    <w:lvl w:ilvl="0" w:tplc="57C0C35A">
      <w:start w:val="4"/>
      <w:numFmt w:val="bullet"/>
      <w:lvlText w:val="-"/>
      <w:lvlJc w:val="left"/>
      <w:pPr>
        <w:ind w:left="720" w:hanging="360"/>
      </w:pPr>
      <w:rPr>
        <w:rFonts w:ascii="Times New Roman" w:eastAsia="Calibri" w:hAnsi="Times New Roman" w:cs="Times New Roman" w:hint="default"/>
      </w:rPr>
    </w:lvl>
    <w:lvl w:ilvl="1" w:tplc="041C0003">
      <w:start w:val="1"/>
      <w:numFmt w:val="bullet"/>
      <w:lvlText w:val="o"/>
      <w:lvlJc w:val="left"/>
      <w:pPr>
        <w:ind w:left="1440" w:hanging="360"/>
      </w:pPr>
      <w:rPr>
        <w:rFonts w:ascii="Courier New" w:hAnsi="Courier New" w:cs="Courier New" w:hint="default"/>
      </w:rPr>
    </w:lvl>
    <w:lvl w:ilvl="2" w:tplc="041C0005">
      <w:start w:val="1"/>
      <w:numFmt w:val="bullet"/>
      <w:lvlText w:val=""/>
      <w:lvlJc w:val="left"/>
      <w:pPr>
        <w:ind w:left="2160" w:hanging="360"/>
      </w:pPr>
      <w:rPr>
        <w:rFonts w:ascii="Wingdings" w:hAnsi="Wingdings" w:hint="default"/>
      </w:rPr>
    </w:lvl>
    <w:lvl w:ilvl="3" w:tplc="041C0001">
      <w:start w:val="1"/>
      <w:numFmt w:val="bullet"/>
      <w:lvlText w:val=""/>
      <w:lvlJc w:val="left"/>
      <w:pPr>
        <w:ind w:left="2880" w:hanging="360"/>
      </w:pPr>
      <w:rPr>
        <w:rFonts w:ascii="Symbol" w:hAnsi="Symbol" w:hint="default"/>
      </w:rPr>
    </w:lvl>
    <w:lvl w:ilvl="4" w:tplc="041C0003">
      <w:start w:val="1"/>
      <w:numFmt w:val="bullet"/>
      <w:lvlText w:val="o"/>
      <w:lvlJc w:val="left"/>
      <w:pPr>
        <w:ind w:left="3600" w:hanging="360"/>
      </w:pPr>
      <w:rPr>
        <w:rFonts w:ascii="Courier New" w:hAnsi="Courier New" w:cs="Courier New" w:hint="default"/>
      </w:rPr>
    </w:lvl>
    <w:lvl w:ilvl="5" w:tplc="041C0005">
      <w:start w:val="1"/>
      <w:numFmt w:val="bullet"/>
      <w:lvlText w:val=""/>
      <w:lvlJc w:val="left"/>
      <w:pPr>
        <w:ind w:left="4320" w:hanging="360"/>
      </w:pPr>
      <w:rPr>
        <w:rFonts w:ascii="Wingdings" w:hAnsi="Wingdings" w:hint="default"/>
      </w:rPr>
    </w:lvl>
    <w:lvl w:ilvl="6" w:tplc="041C0001">
      <w:start w:val="1"/>
      <w:numFmt w:val="bullet"/>
      <w:lvlText w:val=""/>
      <w:lvlJc w:val="left"/>
      <w:pPr>
        <w:ind w:left="5040" w:hanging="360"/>
      </w:pPr>
      <w:rPr>
        <w:rFonts w:ascii="Symbol" w:hAnsi="Symbol" w:hint="default"/>
      </w:rPr>
    </w:lvl>
    <w:lvl w:ilvl="7" w:tplc="041C0003">
      <w:start w:val="1"/>
      <w:numFmt w:val="bullet"/>
      <w:lvlText w:val="o"/>
      <w:lvlJc w:val="left"/>
      <w:pPr>
        <w:ind w:left="5760" w:hanging="360"/>
      </w:pPr>
      <w:rPr>
        <w:rFonts w:ascii="Courier New" w:hAnsi="Courier New" w:cs="Courier New" w:hint="default"/>
      </w:rPr>
    </w:lvl>
    <w:lvl w:ilvl="8" w:tplc="041C0005">
      <w:start w:val="1"/>
      <w:numFmt w:val="bullet"/>
      <w:lvlText w:val=""/>
      <w:lvlJc w:val="left"/>
      <w:pPr>
        <w:ind w:left="6480" w:hanging="360"/>
      </w:pPr>
      <w:rPr>
        <w:rFonts w:ascii="Wingdings" w:hAnsi="Wingdings" w:hint="default"/>
      </w:rPr>
    </w:lvl>
  </w:abstractNum>
  <w:abstractNum w:abstractNumId="15">
    <w:nsid w:val="3F1F43EA"/>
    <w:multiLevelType w:val="hybridMultilevel"/>
    <w:tmpl w:val="63CE4D04"/>
    <w:lvl w:ilvl="0" w:tplc="00BEE618">
      <w:start w:val="1"/>
      <w:numFmt w:val="bullet"/>
      <w:lvlText w:val=""/>
      <w:lvlJc w:val="left"/>
      <w:pPr>
        <w:ind w:left="360" w:hanging="360"/>
      </w:pPr>
      <w:rPr>
        <w:rFonts w:ascii="Symbol" w:hAnsi="Symbol" w:hint="default"/>
      </w:rPr>
    </w:lvl>
    <w:lvl w:ilvl="1" w:tplc="041C0003">
      <w:start w:val="1"/>
      <w:numFmt w:val="bullet"/>
      <w:lvlText w:val="o"/>
      <w:lvlJc w:val="left"/>
      <w:pPr>
        <w:ind w:left="1080" w:hanging="360"/>
      </w:pPr>
      <w:rPr>
        <w:rFonts w:ascii="Courier New" w:hAnsi="Courier New" w:cs="Courier New" w:hint="default"/>
      </w:rPr>
    </w:lvl>
    <w:lvl w:ilvl="2" w:tplc="041C0005">
      <w:start w:val="1"/>
      <w:numFmt w:val="bullet"/>
      <w:lvlText w:val=""/>
      <w:lvlJc w:val="left"/>
      <w:pPr>
        <w:ind w:left="1800" w:hanging="360"/>
      </w:pPr>
      <w:rPr>
        <w:rFonts w:ascii="Wingdings" w:hAnsi="Wingdings" w:hint="default"/>
      </w:rPr>
    </w:lvl>
    <w:lvl w:ilvl="3" w:tplc="041C0001">
      <w:start w:val="1"/>
      <w:numFmt w:val="bullet"/>
      <w:lvlText w:val=""/>
      <w:lvlJc w:val="left"/>
      <w:pPr>
        <w:ind w:left="2520" w:hanging="360"/>
      </w:pPr>
      <w:rPr>
        <w:rFonts w:ascii="Symbol" w:hAnsi="Symbol" w:hint="default"/>
      </w:rPr>
    </w:lvl>
    <w:lvl w:ilvl="4" w:tplc="041C0003">
      <w:start w:val="1"/>
      <w:numFmt w:val="bullet"/>
      <w:lvlText w:val="o"/>
      <w:lvlJc w:val="left"/>
      <w:pPr>
        <w:ind w:left="3240" w:hanging="360"/>
      </w:pPr>
      <w:rPr>
        <w:rFonts w:ascii="Courier New" w:hAnsi="Courier New" w:cs="Courier New" w:hint="default"/>
      </w:rPr>
    </w:lvl>
    <w:lvl w:ilvl="5" w:tplc="041C0005">
      <w:start w:val="1"/>
      <w:numFmt w:val="bullet"/>
      <w:lvlText w:val=""/>
      <w:lvlJc w:val="left"/>
      <w:pPr>
        <w:ind w:left="3960" w:hanging="360"/>
      </w:pPr>
      <w:rPr>
        <w:rFonts w:ascii="Wingdings" w:hAnsi="Wingdings" w:hint="default"/>
      </w:rPr>
    </w:lvl>
    <w:lvl w:ilvl="6" w:tplc="041C0001">
      <w:start w:val="1"/>
      <w:numFmt w:val="bullet"/>
      <w:lvlText w:val=""/>
      <w:lvlJc w:val="left"/>
      <w:pPr>
        <w:ind w:left="4680" w:hanging="360"/>
      </w:pPr>
      <w:rPr>
        <w:rFonts w:ascii="Symbol" w:hAnsi="Symbol" w:hint="default"/>
      </w:rPr>
    </w:lvl>
    <w:lvl w:ilvl="7" w:tplc="041C0003">
      <w:start w:val="1"/>
      <w:numFmt w:val="bullet"/>
      <w:lvlText w:val="o"/>
      <w:lvlJc w:val="left"/>
      <w:pPr>
        <w:ind w:left="5400" w:hanging="360"/>
      </w:pPr>
      <w:rPr>
        <w:rFonts w:ascii="Courier New" w:hAnsi="Courier New" w:cs="Courier New" w:hint="default"/>
      </w:rPr>
    </w:lvl>
    <w:lvl w:ilvl="8" w:tplc="041C0005">
      <w:start w:val="1"/>
      <w:numFmt w:val="bullet"/>
      <w:lvlText w:val=""/>
      <w:lvlJc w:val="left"/>
      <w:pPr>
        <w:ind w:left="6120" w:hanging="360"/>
      </w:pPr>
      <w:rPr>
        <w:rFonts w:ascii="Wingdings" w:hAnsi="Wingdings" w:hint="default"/>
      </w:rPr>
    </w:lvl>
  </w:abstractNum>
  <w:abstractNum w:abstractNumId="16">
    <w:nsid w:val="4092712A"/>
    <w:multiLevelType w:val="hybridMultilevel"/>
    <w:tmpl w:val="DBD664DE"/>
    <w:lvl w:ilvl="0" w:tplc="00BEE618">
      <w:start w:val="1"/>
      <w:numFmt w:val="bullet"/>
      <w:lvlText w:val=""/>
      <w:lvlJc w:val="left"/>
      <w:pPr>
        <w:ind w:left="360" w:hanging="360"/>
      </w:pPr>
      <w:rPr>
        <w:rFonts w:ascii="Symbol" w:hAnsi="Symbol" w:hint="default"/>
      </w:rPr>
    </w:lvl>
    <w:lvl w:ilvl="1" w:tplc="041C0003">
      <w:start w:val="1"/>
      <w:numFmt w:val="bullet"/>
      <w:lvlText w:val="o"/>
      <w:lvlJc w:val="left"/>
      <w:pPr>
        <w:ind w:left="1080" w:hanging="360"/>
      </w:pPr>
      <w:rPr>
        <w:rFonts w:ascii="Courier New" w:hAnsi="Courier New" w:cs="Courier New" w:hint="default"/>
      </w:rPr>
    </w:lvl>
    <w:lvl w:ilvl="2" w:tplc="041C0005">
      <w:start w:val="1"/>
      <w:numFmt w:val="bullet"/>
      <w:lvlText w:val=""/>
      <w:lvlJc w:val="left"/>
      <w:pPr>
        <w:ind w:left="1800" w:hanging="360"/>
      </w:pPr>
      <w:rPr>
        <w:rFonts w:ascii="Wingdings" w:hAnsi="Wingdings" w:hint="default"/>
      </w:rPr>
    </w:lvl>
    <w:lvl w:ilvl="3" w:tplc="041C0001">
      <w:start w:val="1"/>
      <w:numFmt w:val="bullet"/>
      <w:lvlText w:val=""/>
      <w:lvlJc w:val="left"/>
      <w:pPr>
        <w:ind w:left="2520" w:hanging="360"/>
      </w:pPr>
      <w:rPr>
        <w:rFonts w:ascii="Symbol" w:hAnsi="Symbol" w:hint="default"/>
      </w:rPr>
    </w:lvl>
    <w:lvl w:ilvl="4" w:tplc="041C0003">
      <w:start w:val="1"/>
      <w:numFmt w:val="bullet"/>
      <w:lvlText w:val="o"/>
      <w:lvlJc w:val="left"/>
      <w:pPr>
        <w:ind w:left="3240" w:hanging="360"/>
      </w:pPr>
      <w:rPr>
        <w:rFonts w:ascii="Courier New" w:hAnsi="Courier New" w:cs="Courier New" w:hint="default"/>
      </w:rPr>
    </w:lvl>
    <w:lvl w:ilvl="5" w:tplc="041C0005">
      <w:start w:val="1"/>
      <w:numFmt w:val="bullet"/>
      <w:lvlText w:val=""/>
      <w:lvlJc w:val="left"/>
      <w:pPr>
        <w:ind w:left="3960" w:hanging="360"/>
      </w:pPr>
      <w:rPr>
        <w:rFonts w:ascii="Wingdings" w:hAnsi="Wingdings" w:hint="default"/>
      </w:rPr>
    </w:lvl>
    <w:lvl w:ilvl="6" w:tplc="041C0001">
      <w:start w:val="1"/>
      <w:numFmt w:val="bullet"/>
      <w:lvlText w:val=""/>
      <w:lvlJc w:val="left"/>
      <w:pPr>
        <w:ind w:left="4680" w:hanging="360"/>
      </w:pPr>
      <w:rPr>
        <w:rFonts w:ascii="Symbol" w:hAnsi="Symbol" w:hint="default"/>
      </w:rPr>
    </w:lvl>
    <w:lvl w:ilvl="7" w:tplc="041C0003">
      <w:start w:val="1"/>
      <w:numFmt w:val="bullet"/>
      <w:lvlText w:val="o"/>
      <w:lvlJc w:val="left"/>
      <w:pPr>
        <w:ind w:left="5400" w:hanging="360"/>
      </w:pPr>
      <w:rPr>
        <w:rFonts w:ascii="Courier New" w:hAnsi="Courier New" w:cs="Courier New" w:hint="default"/>
      </w:rPr>
    </w:lvl>
    <w:lvl w:ilvl="8" w:tplc="041C0005">
      <w:start w:val="1"/>
      <w:numFmt w:val="bullet"/>
      <w:lvlText w:val=""/>
      <w:lvlJc w:val="left"/>
      <w:pPr>
        <w:ind w:left="6120" w:hanging="360"/>
      </w:pPr>
      <w:rPr>
        <w:rFonts w:ascii="Wingdings" w:hAnsi="Wingdings" w:hint="default"/>
      </w:rPr>
    </w:lvl>
  </w:abstractNum>
  <w:abstractNum w:abstractNumId="17">
    <w:nsid w:val="4C453C03"/>
    <w:multiLevelType w:val="hybridMultilevel"/>
    <w:tmpl w:val="1A8CED3E"/>
    <w:lvl w:ilvl="0" w:tplc="00BEE618">
      <w:start w:val="1"/>
      <w:numFmt w:val="bullet"/>
      <w:lvlText w:val=""/>
      <w:lvlJc w:val="left"/>
      <w:pPr>
        <w:ind w:left="360" w:hanging="360"/>
      </w:pPr>
      <w:rPr>
        <w:rFonts w:ascii="Symbol" w:hAnsi="Symbol" w:hint="default"/>
      </w:rPr>
    </w:lvl>
    <w:lvl w:ilvl="1" w:tplc="041C0003">
      <w:start w:val="1"/>
      <w:numFmt w:val="bullet"/>
      <w:lvlText w:val="o"/>
      <w:lvlJc w:val="left"/>
      <w:pPr>
        <w:ind w:left="1080" w:hanging="360"/>
      </w:pPr>
      <w:rPr>
        <w:rFonts w:ascii="Courier New" w:hAnsi="Courier New" w:cs="Courier New" w:hint="default"/>
      </w:rPr>
    </w:lvl>
    <w:lvl w:ilvl="2" w:tplc="041C0005">
      <w:start w:val="1"/>
      <w:numFmt w:val="bullet"/>
      <w:lvlText w:val=""/>
      <w:lvlJc w:val="left"/>
      <w:pPr>
        <w:ind w:left="1800" w:hanging="360"/>
      </w:pPr>
      <w:rPr>
        <w:rFonts w:ascii="Wingdings" w:hAnsi="Wingdings" w:hint="default"/>
      </w:rPr>
    </w:lvl>
    <w:lvl w:ilvl="3" w:tplc="041C0001">
      <w:start w:val="1"/>
      <w:numFmt w:val="bullet"/>
      <w:lvlText w:val=""/>
      <w:lvlJc w:val="left"/>
      <w:pPr>
        <w:ind w:left="2520" w:hanging="360"/>
      </w:pPr>
      <w:rPr>
        <w:rFonts w:ascii="Symbol" w:hAnsi="Symbol" w:hint="default"/>
      </w:rPr>
    </w:lvl>
    <w:lvl w:ilvl="4" w:tplc="041C0003">
      <w:start w:val="1"/>
      <w:numFmt w:val="bullet"/>
      <w:lvlText w:val="o"/>
      <w:lvlJc w:val="left"/>
      <w:pPr>
        <w:ind w:left="3240" w:hanging="360"/>
      </w:pPr>
      <w:rPr>
        <w:rFonts w:ascii="Courier New" w:hAnsi="Courier New" w:cs="Courier New" w:hint="default"/>
      </w:rPr>
    </w:lvl>
    <w:lvl w:ilvl="5" w:tplc="041C0005">
      <w:start w:val="1"/>
      <w:numFmt w:val="bullet"/>
      <w:lvlText w:val=""/>
      <w:lvlJc w:val="left"/>
      <w:pPr>
        <w:ind w:left="3960" w:hanging="360"/>
      </w:pPr>
      <w:rPr>
        <w:rFonts w:ascii="Wingdings" w:hAnsi="Wingdings" w:hint="default"/>
      </w:rPr>
    </w:lvl>
    <w:lvl w:ilvl="6" w:tplc="041C0001">
      <w:start w:val="1"/>
      <w:numFmt w:val="bullet"/>
      <w:lvlText w:val=""/>
      <w:lvlJc w:val="left"/>
      <w:pPr>
        <w:ind w:left="4680" w:hanging="360"/>
      </w:pPr>
      <w:rPr>
        <w:rFonts w:ascii="Symbol" w:hAnsi="Symbol" w:hint="default"/>
      </w:rPr>
    </w:lvl>
    <w:lvl w:ilvl="7" w:tplc="041C0003">
      <w:start w:val="1"/>
      <w:numFmt w:val="bullet"/>
      <w:lvlText w:val="o"/>
      <w:lvlJc w:val="left"/>
      <w:pPr>
        <w:ind w:left="5400" w:hanging="360"/>
      </w:pPr>
      <w:rPr>
        <w:rFonts w:ascii="Courier New" w:hAnsi="Courier New" w:cs="Courier New" w:hint="default"/>
      </w:rPr>
    </w:lvl>
    <w:lvl w:ilvl="8" w:tplc="041C0005">
      <w:start w:val="1"/>
      <w:numFmt w:val="bullet"/>
      <w:lvlText w:val=""/>
      <w:lvlJc w:val="left"/>
      <w:pPr>
        <w:ind w:left="6120" w:hanging="360"/>
      </w:pPr>
      <w:rPr>
        <w:rFonts w:ascii="Wingdings" w:hAnsi="Wingdings" w:hint="default"/>
      </w:rPr>
    </w:lvl>
  </w:abstractNum>
  <w:abstractNum w:abstractNumId="18">
    <w:nsid w:val="50F8746F"/>
    <w:multiLevelType w:val="hybridMultilevel"/>
    <w:tmpl w:val="370C2F4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nsid w:val="531F2619"/>
    <w:multiLevelType w:val="hybridMultilevel"/>
    <w:tmpl w:val="B8F2BD40"/>
    <w:lvl w:ilvl="0" w:tplc="18EA4104">
      <w:start w:val="3"/>
      <w:numFmt w:val="bullet"/>
      <w:lvlText w:val="-"/>
      <w:lvlJc w:val="left"/>
      <w:pPr>
        <w:ind w:left="720" w:hanging="360"/>
      </w:pPr>
      <w:rPr>
        <w:rFonts w:ascii="Times New Roman" w:eastAsia="Calibri" w:hAnsi="Times New Roman" w:cs="Times New Roman" w:hint="default"/>
      </w:rPr>
    </w:lvl>
    <w:lvl w:ilvl="1" w:tplc="041C0003">
      <w:start w:val="1"/>
      <w:numFmt w:val="bullet"/>
      <w:lvlText w:val="o"/>
      <w:lvlJc w:val="left"/>
      <w:pPr>
        <w:ind w:left="1440" w:hanging="360"/>
      </w:pPr>
      <w:rPr>
        <w:rFonts w:ascii="Courier New" w:hAnsi="Courier New" w:cs="Courier New" w:hint="default"/>
      </w:rPr>
    </w:lvl>
    <w:lvl w:ilvl="2" w:tplc="041C0005">
      <w:start w:val="1"/>
      <w:numFmt w:val="bullet"/>
      <w:lvlText w:val=""/>
      <w:lvlJc w:val="left"/>
      <w:pPr>
        <w:ind w:left="2160" w:hanging="360"/>
      </w:pPr>
      <w:rPr>
        <w:rFonts w:ascii="Wingdings" w:hAnsi="Wingdings" w:hint="default"/>
      </w:rPr>
    </w:lvl>
    <w:lvl w:ilvl="3" w:tplc="041C0001">
      <w:start w:val="1"/>
      <w:numFmt w:val="bullet"/>
      <w:lvlText w:val=""/>
      <w:lvlJc w:val="left"/>
      <w:pPr>
        <w:ind w:left="2880" w:hanging="360"/>
      </w:pPr>
      <w:rPr>
        <w:rFonts w:ascii="Symbol" w:hAnsi="Symbol" w:hint="default"/>
      </w:rPr>
    </w:lvl>
    <w:lvl w:ilvl="4" w:tplc="041C0003">
      <w:start w:val="1"/>
      <w:numFmt w:val="bullet"/>
      <w:lvlText w:val="o"/>
      <w:lvlJc w:val="left"/>
      <w:pPr>
        <w:ind w:left="3600" w:hanging="360"/>
      </w:pPr>
      <w:rPr>
        <w:rFonts w:ascii="Courier New" w:hAnsi="Courier New" w:cs="Courier New" w:hint="default"/>
      </w:rPr>
    </w:lvl>
    <w:lvl w:ilvl="5" w:tplc="041C0005">
      <w:start w:val="1"/>
      <w:numFmt w:val="bullet"/>
      <w:lvlText w:val=""/>
      <w:lvlJc w:val="left"/>
      <w:pPr>
        <w:ind w:left="4320" w:hanging="360"/>
      </w:pPr>
      <w:rPr>
        <w:rFonts w:ascii="Wingdings" w:hAnsi="Wingdings" w:hint="default"/>
      </w:rPr>
    </w:lvl>
    <w:lvl w:ilvl="6" w:tplc="041C0001">
      <w:start w:val="1"/>
      <w:numFmt w:val="bullet"/>
      <w:lvlText w:val=""/>
      <w:lvlJc w:val="left"/>
      <w:pPr>
        <w:ind w:left="5040" w:hanging="360"/>
      </w:pPr>
      <w:rPr>
        <w:rFonts w:ascii="Symbol" w:hAnsi="Symbol" w:hint="default"/>
      </w:rPr>
    </w:lvl>
    <w:lvl w:ilvl="7" w:tplc="041C0003">
      <w:start w:val="1"/>
      <w:numFmt w:val="bullet"/>
      <w:lvlText w:val="o"/>
      <w:lvlJc w:val="left"/>
      <w:pPr>
        <w:ind w:left="5760" w:hanging="360"/>
      </w:pPr>
      <w:rPr>
        <w:rFonts w:ascii="Courier New" w:hAnsi="Courier New" w:cs="Courier New" w:hint="default"/>
      </w:rPr>
    </w:lvl>
    <w:lvl w:ilvl="8" w:tplc="041C0005">
      <w:start w:val="1"/>
      <w:numFmt w:val="bullet"/>
      <w:lvlText w:val=""/>
      <w:lvlJc w:val="left"/>
      <w:pPr>
        <w:ind w:left="6480" w:hanging="360"/>
      </w:pPr>
      <w:rPr>
        <w:rFonts w:ascii="Wingdings" w:hAnsi="Wingdings" w:hint="default"/>
      </w:rPr>
    </w:lvl>
  </w:abstractNum>
  <w:abstractNum w:abstractNumId="20">
    <w:nsid w:val="580A350C"/>
    <w:multiLevelType w:val="hybridMultilevel"/>
    <w:tmpl w:val="40A2F904"/>
    <w:lvl w:ilvl="0" w:tplc="0068F8BE">
      <w:numFmt w:val="bullet"/>
      <w:lvlText w:val="-"/>
      <w:lvlJc w:val="left"/>
      <w:pPr>
        <w:ind w:left="360" w:hanging="360"/>
      </w:pPr>
      <w:rPr>
        <w:rFonts w:ascii="Times New Roman" w:eastAsia="Calibri" w:hAnsi="Times New Roman" w:cs="Times New Roman" w:hint="default"/>
        <w:color w:val="000000" w:themeColor="text1"/>
      </w:rPr>
    </w:lvl>
    <w:lvl w:ilvl="1" w:tplc="041C0003">
      <w:start w:val="1"/>
      <w:numFmt w:val="bullet"/>
      <w:lvlText w:val="o"/>
      <w:lvlJc w:val="left"/>
      <w:pPr>
        <w:ind w:left="1440" w:hanging="360"/>
      </w:pPr>
      <w:rPr>
        <w:rFonts w:ascii="Courier New" w:hAnsi="Courier New" w:cs="Courier New" w:hint="default"/>
      </w:rPr>
    </w:lvl>
    <w:lvl w:ilvl="2" w:tplc="041C0005">
      <w:start w:val="1"/>
      <w:numFmt w:val="bullet"/>
      <w:lvlText w:val=""/>
      <w:lvlJc w:val="left"/>
      <w:pPr>
        <w:ind w:left="2160" w:hanging="360"/>
      </w:pPr>
      <w:rPr>
        <w:rFonts w:ascii="Wingdings" w:hAnsi="Wingdings" w:hint="default"/>
      </w:rPr>
    </w:lvl>
    <w:lvl w:ilvl="3" w:tplc="041C0001">
      <w:start w:val="1"/>
      <w:numFmt w:val="bullet"/>
      <w:lvlText w:val=""/>
      <w:lvlJc w:val="left"/>
      <w:pPr>
        <w:ind w:left="2880" w:hanging="360"/>
      </w:pPr>
      <w:rPr>
        <w:rFonts w:ascii="Symbol" w:hAnsi="Symbol" w:hint="default"/>
      </w:rPr>
    </w:lvl>
    <w:lvl w:ilvl="4" w:tplc="041C0003">
      <w:start w:val="1"/>
      <w:numFmt w:val="bullet"/>
      <w:lvlText w:val="o"/>
      <w:lvlJc w:val="left"/>
      <w:pPr>
        <w:ind w:left="3600" w:hanging="360"/>
      </w:pPr>
      <w:rPr>
        <w:rFonts w:ascii="Courier New" w:hAnsi="Courier New" w:cs="Courier New" w:hint="default"/>
      </w:rPr>
    </w:lvl>
    <w:lvl w:ilvl="5" w:tplc="041C0005">
      <w:start w:val="1"/>
      <w:numFmt w:val="bullet"/>
      <w:lvlText w:val=""/>
      <w:lvlJc w:val="left"/>
      <w:pPr>
        <w:ind w:left="4320" w:hanging="360"/>
      </w:pPr>
      <w:rPr>
        <w:rFonts w:ascii="Wingdings" w:hAnsi="Wingdings" w:hint="default"/>
      </w:rPr>
    </w:lvl>
    <w:lvl w:ilvl="6" w:tplc="041C0001">
      <w:start w:val="1"/>
      <w:numFmt w:val="bullet"/>
      <w:lvlText w:val=""/>
      <w:lvlJc w:val="left"/>
      <w:pPr>
        <w:ind w:left="5040" w:hanging="360"/>
      </w:pPr>
      <w:rPr>
        <w:rFonts w:ascii="Symbol" w:hAnsi="Symbol" w:hint="default"/>
      </w:rPr>
    </w:lvl>
    <w:lvl w:ilvl="7" w:tplc="041C0003">
      <w:start w:val="1"/>
      <w:numFmt w:val="bullet"/>
      <w:lvlText w:val="o"/>
      <w:lvlJc w:val="left"/>
      <w:pPr>
        <w:ind w:left="5760" w:hanging="360"/>
      </w:pPr>
      <w:rPr>
        <w:rFonts w:ascii="Courier New" w:hAnsi="Courier New" w:cs="Courier New" w:hint="default"/>
      </w:rPr>
    </w:lvl>
    <w:lvl w:ilvl="8" w:tplc="041C0005">
      <w:start w:val="1"/>
      <w:numFmt w:val="bullet"/>
      <w:lvlText w:val=""/>
      <w:lvlJc w:val="left"/>
      <w:pPr>
        <w:ind w:left="6480" w:hanging="360"/>
      </w:pPr>
      <w:rPr>
        <w:rFonts w:ascii="Wingdings" w:hAnsi="Wingdings" w:hint="default"/>
      </w:rPr>
    </w:lvl>
  </w:abstractNum>
  <w:abstractNum w:abstractNumId="21">
    <w:nsid w:val="5A983589"/>
    <w:multiLevelType w:val="hybridMultilevel"/>
    <w:tmpl w:val="C0DE8F76"/>
    <w:lvl w:ilvl="0" w:tplc="041C0019">
      <w:start w:val="1"/>
      <w:numFmt w:val="lowerLetter"/>
      <w:lvlText w:val="%1."/>
      <w:lvlJc w:val="left"/>
      <w:pPr>
        <w:ind w:left="360" w:hanging="360"/>
      </w:pPr>
    </w:lvl>
    <w:lvl w:ilvl="1" w:tplc="041C0019">
      <w:start w:val="1"/>
      <w:numFmt w:val="lowerLetter"/>
      <w:lvlText w:val="%2."/>
      <w:lvlJc w:val="left"/>
      <w:pPr>
        <w:ind w:left="1080" w:hanging="360"/>
      </w:pPr>
    </w:lvl>
    <w:lvl w:ilvl="2" w:tplc="041C001B">
      <w:start w:val="1"/>
      <w:numFmt w:val="lowerRoman"/>
      <w:lvlText w:val="%3."/>
      <w:lvlJc w:val="right"/>
      <w:pPr>
        <w:ind w:left="1800" w:hanging="180"/>
      </w:pPr>
    </w:lvl>
    <w:lvl w:ilvl="3" w:tplc="041C000F">
      <w:start w:val="1"/>
      <w:numFmt w:val="decimal"/>
      <w:lvlText w:val="%4."/>
      <w:lvlJc w:val="left"/>
      <w:pPr>
        <w:ind w:left="2520" w:hanging="360"/>
      </w:pPr>
    </w:lvl>
    <w:lvl w:ilvl="4" w:tplc="041C0019">
      <w:start w:val="1"/>
      <w:numFmt w:val="lowerLetter"/>
      <w:lvlText w:val="%5."/>
      <w:lvlJc w:val="left"/>
      <w:pPr>
        <w:ind w:left="3240" w:hanging="360"/>
      </w:pPr>
    </w:lvl>
    <w:lvl w:ilvl="5" w:tplc="041C001B">
      <w:start w:val="1"/>
      <w:numFmt w:val="lowerRoman"/>
      <w:lvlText w:val="%6."/>
      <w:lvlJc w:val="right"/>
      <w:pPr>
        <w:ind w:left="3960" w:hanging="180"/>
      </w:pPr>
    </w:lvl>
    <w:lvl w:ilvl="6" w:tplc="041C000F">
      <w:start w:val="1"/>
      <w:numFmt w:val="decimal"/>
      <w:lvlText w:val="%7."/>
      <w:lvlJc w:val="left"/>
      <w:pPr>
        <w:ind w:left="4680" w:hanging="360"/>
      </w:pPr>
    </w:lvl>
    <w:lvl w:ilvl="7" w:tplc="041C0019">
      <w:start w:val="1"/>
      <w:numFmt w:val="lowerLetter"/>
      <w:lvlText w:val="%8."/>
      <w:lvlJc w:val="left"/>
      <w:pPr>
        <w:ind w:left="5400" w:hanging="360"/>
      </w:pPr>
    </w:lvl>
    <w:lvl w:ilvl="8" w:tplc="041C001B">
      <w:start w:val="1"/>
      <w:numFmt w:val="lowerRoman"/>
      <w:lvlText w:val="%9."/>
      <w:lvlJc w:val="right"/>
      <w:pPr>
        <w:ind w:left="6120" w:hanging="180"/>
      </w:pPr>
    </w:lvl>
  </w:abstractNum>
  <w:abstractNum w:abstractNumId="22">
    <w:nsid w:val="5DEC79AF"/>
    <w:multiLevelType w:val="hybridMultilevel"/>
    <w:tmpl w:val="487C143A"/>
    <w:lvl w:ilvl="0" w:tplc="FDBC97AC">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60283AFE"/>
    <w:multiLevelType w:val="hybridMultilevel"/>
    <w:tmpl w:val="80A4965E"/>
    <w:lvl w:ilvl="0" w:tplc="22FCA01A">
      <w:start w:val="1"/>
      <w:numFmt w:val="decimal"/>
      <w:lvlText w:val="%1."/>
      <w:lvlJc w:val="left"/>
      <w:pPr>
        <w:ind w:left="720" w:hanging="360"/>
      </w:pPr>
      <w:rPr>
        <w:rFonts w:eastAsiaTheme="majorEastAsia" w:cstheme="majorBidi"/>
        <w:b/>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60294AD6"/>
    <w:multiLevelType w:val="hybridMultilevel"/>
    <w:tmpl w:val="0FBA9E24"/>
    <w:lvl w:ilvl="0" w:tplc="3EAA92D2">
      <w:start w:val="3"/>
      <w:numFmt w:val="bullet"/>
      <w:lvlText w:val="-"/>
      <w:lvlJc w:val="left"/>
      <w:pPr>
        <w:ind w:left="720" w:hanging="360"/>
      </w:pPr>
      <w:rPr>
        <w:rFonts w:ascii="Times New Roman" w:eastAsiaTheme="majorEastAsia" w:hAnsi="Times New Roman" w:cs="Times New Roman" w:hint="default"/>
      </w:rPr>
    </w:lvl>
    <w:lvl w:ilvl="1" w:tplc="041C0003">
      <w:start w:val="1"/>
      <w:numFmt w:val="bullet"/>
      <w:lvlText w:val="o"/>
      <w:lvlJc w:val="left"/>
      <w:pPr>
        <w:ind w:left="1440" w:hanging="360"/>
      </w:pPr>
      <w:rPr>
        <w:rFonts w:ascii="Courier New" w:hAnsi="Courier New" w:cs="Courier New" w:hint="default"/>
      </w:rPr>
    </w:lvl>
    <w:lvl w:ilvl="2" w:tplc="041C0005">
      <w:start w:val="1"/>
      <w:numFmt w:val="bullet"/>
      <w:lvlText w:val=""/>
      <w:lvlJc w:val="left"/>
      <w:pPr>
        <w:ind w:left="2160" w:hanging="360"/>
      </w:pPr>
      <w:rPr>
        <w:rFonts w:ascii="Wingdings" w:hAnsi="Wingdings" w:hint="default"/>
      </w:rPr>
    </w:lvl>
    <w:lvl w:ilvl="3" w:tplc="041C0001">
      <w:start w:val="1"/>
      <w:numFmt w:val="bullet"/>
      <w:lvlText w:val=""/>
      <w:lvlJc w:val="left"/>
      <w:pPr>
        <w:ind w:left="2880" w:hanging="360"/>
      </w:pPr>
      <w:rPr>
        <w:rFonts w:ascii="Symbol" w:hAnsi="Symbol" w:hint="default"/>
      </w:rPr>
    </w:lvl>
    <w:lvl w:ilvl="4" w:tplc="041C0003">
      <w:start w:val="1"/>
      <w:numFmt w:val="bullet"/>
      <w:lvlText w:val="o"/>
      <w:lvlJc w:val="left"/>
      <w:pPr>
        <w:ind w:left="3600" w:hanging="360"/>
      </w:pPr>
      <w:rPr>
        <w:rFonts w:ascii="Courier New" w:hAnsi="Courier New" w:cs="Courier New" w:hint="default"/>
      </w:rPr>
    </w:lvl>
    <w:lvl w:ilvl="5" w:tplc="041C0005">
      <w:start w:val="1"/>
      <w:numFmt w:val="bullet"/>
      <w:lvlText w:val=""/>
      <w:lvlJc w:val="left"/>
      <w:pPr>
        <w:ind w:left="4320" w:hanging="360"/>
      </w:pPr>
      <w:rPr>
        <w:rFonts w:ascii="Wingdings" w:hAnsi="Wingdings" w:hint="default"/>
      </w:rPr>
    </w:lvl>
    <w:lvl w:ilvl="6" w:tplc="041C0001">
      <w:start w:val="1"/>
      <w:numFmt w:val="bullet"/>
      <w:lvlText w:val=""/>
      <w:lvlJc w:val="left"/>
      <w:pPr>
        <w:ind w:left="5040" w:hanging="360"/>
      </w:pPr>
      <w:rPr>
        <w:rFonts w:ascii="Symbol" w:hAnsi="Symbol" w:hint="default"/>
      </w:rPr>
    </w:lvl>
    <w:lvl w:ilvl="7" w:tplc="041C0003">
      <w:start w:val="1"/>
      <w:numFmt w:val="bullet"/>
      <w:lvlText w:val="o"/>
      <w:lvlJc w:val="left"/>
      <w:pPr>
        <w:ind w:left="5760" w:hanging="360"/>
      </w:pPr>
      <w:rPr>
        <w:rFonts w:ascii="Courier New" w:hAnsi="Courier New" w:cs="Courier New" w:hint="default"/>
      </w:rPr>
    </w:lvl>
    <w:lvl w:ilvl="8" w:tplc="041C0005">
      <w:start w:val="1"/>
      <w:numFmt w:val="bullet"/>
      <w:lvlText w:val=""/>
      <w:lvlJc w:val="left"/>
      <w:pPr>
        <w:ind w:left="6480" w:hanging="360"/>
      </w:pPr>
      <w:rPr>
        <w:rFonts w:ascii="Wingdings" w:hAnsi="Wingdings" w:hint="default"/>
      </w:rPr>
    </w:lvl>
  </w:abstractNum>
  <w:abstractNum w:abstractNumId="25">
    <w:nsid w:val="620E0C89"/>
    <w:multiLevelType w:val="hybridMultilevel"/>
    <w:tmpl w:val="7AD4911E"/>
    <w:lvl w:ilvl="0" w:tplc="CCB01D68">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nsid w:val="630209FF"/>
    <w:multiLevelType w:val="multilevel"/>
    <w:tmpl w:val="4B821DDC"/>
    <w:lvl w:ilvl="0">
      <w:start w:val="1"/>
      <w:numFmt w:val="decimal"/>
      <w:lvlText w:val="%1."/>
      <w:lvlJc w:val="left"/>
      <w:pPr>
        <w:ind w:left="720" w:hanging="360"/>
      </w:pPr>
      <w:rPr>
        <w:b/>
      </w:rPr>
    </w:lvl>
    <w:lvl w:ilvl="1">
      <w:start w:val="4"/>
      <w:numFmt w:val="decimal"/>
      <w:isLgl/>
      <w:lvlText w:val="%1.%2"/>
      <w:lvlJc w:val="left"/>
      <w:pPr>
        <w:ind w:left="54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7">
    <w:nsid w:val="64805C8C"/>
    <w:multiLevelType w:val="multilevel"/>
    <w:tmpl w:val="755CEDA4"/>
    <w:lvl w:ilvl="0">
      <w:start w:val="7"/>
      <w:numFmt w:val="decimal"/>
      <w:lvlText w:val="%1."/>
      <w:lvlJc w:val="left"/>
      <w:pPr>
        <w:ind w:left="360" w:hanging="360"/>
      </w:pPr>
    </w:lvl>
    <w:lvl w:ilvl="1">
      <w:start w:val="9"/>
      <w:numFmt w:val="decimal"/>
      <w:isLgl/>
      <w:lvlText w:val="%1.%2"/>
      <w:lvlJc w:val="left"/>
      <w:pPr>
        <w:ind w:left="450" w:hanging="45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28">
    <w:nsid w:val="6A02212B"/>
    <w:multiLevelType w:val="hybridMultilevel"/>
    <w:tmpl w:val="168E905C"/>
    <w:lvl w:ilvl="0" w:tplc="00BEE618">
      <w:start w:val="1"/>
      <w:numFmt w:val="bullet"/>
      <w:lvlText w:val=""/>
      <w:lvlJc w:val="left"/>
      <w:pPr>
        <w:ind w:left="540" w:hanging="360"/>
      </w:pPr>
      <w:rPr>
        <w:rFonts w:ascii="Symbol" w:hAnsi="Symbol" w:hint="default"/>
        <w:color w:val="auto"/>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29">
    <w:nsid w:val="74901070"/>
    <w:multiLevelType w:val="hybridMultilevel"/>
    <w:tmpl w:val="D8828244"/>
    <w:lvl w:ilvl="0" w:tplc="D87E0CE6">
      <w:start w:val="1"/>
      <w:numFmt w:val="decimal"/>
      <w:lvlText w:val="%1."/>
      <w:lvlJc w:val="left"/>
      <w:pPr>
        <w:ind w:left="720" w:hanging="360"/>
      </w:pPr>
      <w:rPr>
        <w:b/>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30">
    <w:nsid w:val="74B763E1"/>
    <w:multiLevelType w:val="hybridMultilevel"/>
    <w:tmpl w:val="6F68863A"/>
    <w:lvl w:ilvl="0" w:tplc="C9008FF0">
      <w:start w:val="1"/>
      <w:numFmt w:val="decimal"/>
      <w:lvlText w:val="%1."/>
      <w:lvlJc w:val="left"/>
      <w:pPr>
        <w:ind w:left="720" w:hanging="360"/>
      </w:pPr>
      <w:rPr>
        <w:b/>
        <w:i w:val="0"/>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31">
    <w:nsid w:val="7D207C23"/>
    <w:multiLevelType w:val="hybridMultilevel"/>
    <w:tmpl w:val="D08E6818"/>
    <w:lvl w:ilvl="0" w:tplc="D79053C6">
      <w:start w:val="1"/>
      <w:numFmt w:val="bullet"/>
      <w:lvlText w:val=""/>
      <w:lvlJc w:val="left"/>
      <w:pPr>
        <w:ind w:left="720" w:hanging="360"/>
      </w:pPr>
      <w:rPr>
        <w:rFonts w:ascii="Wingdings" w:hAnsi="Wingdings" w:hint="default"/>
        <w:color w:val="auto"/>
      </w:rPr>
    </w:lvl>
    <w:lvl w:ilvl="1" w:tplc="041C0003">
      <w:start w:val="1"/>
      <w:numFmt w:val="bullet"/>
      <w:lvlText w:val="o"/>
      <w:lvlJc w:val="left"/>
      <w:pPr>
        <w:ind w:left="1440" w:hanging="360"/>
      </w:pPr>
      <w:rPr>
        <w:rFonts w:ascii="Courier New" w:hAnsi="Courier New" w:cs="Courier New" w:hint="default"/>
      </w:rPr>
    </w:lvl>
    <w:lvl w:ilvl="2" w:tplc="041C0005">
      <w:start w:val="1"/>
      <w:numFmt w:val="bullet"/>
      <w:lvlText w:val=""/>
      <w:lvlJc w:val="left"/>
      <w:pPr>
        <w:ind w:left="2160" w:hanging="360"/>
      </w:pPr>
      <w:rPr>
        <w:rFonts w:ascii="Wingdings" w:hAnsi="Wingdings" w:hint="default"/>
      </w:rPr>
    </w:lvl>
    <w:lvl w:ilvl="3" w:tplc="041C0001">
      <w:start w:val="1"/>
      <w:numFmt w:val="bullet"/>
      <w:lvlText w:val=""/>
      <w:lvlJc w:val="left"/>
      <w:pPr>
        <w:ind w:left="2880" w:hanging="360"/>
      </w:pPr>
      <w:rPr>
        <w:rFonts w:ascii="Symbol" w:hAnsi="Symbol" w:hint="default"/>
      </w:rPr>
    </w:lvl>
    <w:lvl w:ilvl="4" w:tplc="041C0003">
      <w:start w:val="1"/>
      <w:numFmt w:val="bullet"/>
      <w:lvlText w:val="o"/>
      <w:lvlJc w:val="left"/>
      <w:pPr>
        <w:ind w:left="3600" w:hanging="360"/>
      </w:pPr>
      <w:rPr>
        <w:rFonts w:ascii="Courier New" w:hAnsi="Courier New" w:cs="Courier New" w:hint="default"/>
      </w:rPr>
    </w:lvl>
    <w:lvl w:ilvl="5" w:tplc="041C0005">
      <w:start w:val="1"/>
      <w:numFmt w:val="bullet"/>
      <w:lvlText w:val=""/>
      <w:lvlJc w:val="left"/>
      <w:pPr>
        <w:ind w:left="4320" w:hanging="360"/>
      </w:pPr>
      <w:rPr>
        <w:rFonts w:ascii="Wingdings" w:hAnsi="Wingdings" w:hint="default"/>
      </w:rPr>
    </w:lvl>
    <w:lvl w:ilvl="6" w:tplc="041C0001">
      <w:start w:val="1"/>
      <w:numFmt w:val="bullet"/>
      <w:lvlText w:val=""/>
      <w:lvlJc w:val="left"/>
      <w:pPr>
        <w:ind w:left="5040" w:hanging="360"/>
      </w:pPr>
      <w:rPr>
        <w:rFonts w:ascii="Symbol" w:hAnsi="Symbol" w:hint="default"/>
      </w:rPr>
    </w:lvl>
    <w:lvl w:ilvl="7" w:tplc="041C0003">
      <w:start w:val="1"/>
      <w:numFmt w:val="bullet"/>
      <w:lvlText w:val="o"/>
      <w:lvlJc w:val="left"/>
      <w:pPr>
        <w:ind w:left="5760" w:hanging="360"/>
      </w:pPr>
      <w:rPr>
        <w:rFonts w:ascii="Courier New" w:hAnsi="Courier New" w:cs="Courier New" w:hint="default"/>
      </w:rPr>
    </w:lvl>
    <w:lvl w:ilvl="8" w:tplc="041C0005">
      <w:start w:val="1"/>
      <w:numFmt w:val="bullet"/>
      <w:lvlText w:val=""/>
      <w:lvlJc w:val="left"/>
      <w:pPr>
        <w:ind w:left="6480" w:hanging="360"/>
      </w:pPr>
      <w:rPr>
        <w:rFonts w:ascii="Wingdings" w:hAnsi="Wingdings" w:hint="default"/>
      </w:rPr>
    </w:lvl>
  </w:abstractNum>
  <w:abstractNum w:abstractNumId="32">
    <w:nsid w:val="7E28160B"/>
    <w:multiLevelType w:val="hybridMultilevel"/>
    <w:tmpl w:val="7228C2E4"/>
    <w:lvl w:ilvl="0" w:tplc="73B6AD8C">
      <w:start w:val="1"/>
      <w:numFmt w:val="upperLetter"/>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num w:numId="1">
    <w:abstractNumId w:val="22"/>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0"/>
  </w:num>
  <w:num w:numId="6">
    <w:abstractNumId w:val="19"/>
  </w:num>
  <w:num w:numId="7">
    <w:abstractNumId w:val="2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15"/>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3"/>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4"/>
  </w:num>
  <w:num w:numId="16">
    <w:abstractNumId w:val="14"/>
  </w:num>
  <w:num w:numId="17">
    <w:abstractNumId w:val="27"/>
    <w:lvlOverride w:ilvl="0">
      <w:startOverride w:val="7"/>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28"/>
  </w:num>
  <w:num w:numId="20">
    <w:abstractNumId w:val="5"/>
  </w:num>
  <w:num w:numId="21">
    <w:abstractNumId w:val="20"/>
  </w:num>
  <w:num w:numId="22">
    <w:abstractNumId w:val="31"/>
  </w:num>
  <w:num w:numId="23">
    <w:abstractNumId w:val="9"/>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1"/>
  </w:num>
  <w:num w:numId="30">
    <w:abstractNumId w:val="2"/>
  </w:num>
  <w:num w:numId="31">
    <w:abstractNumId w:val="7"/>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D72DB6"/>
    <w:rsid w:val="000402D7"/>
    <w:rsid w:val="002F3ACE"/>
    <w:rsid w:val="003C6EA5"/>
    <w:rsid w:val="00D72DB6"/>
    <w:rsid w:val="00E919C3"/>
  </w:rsids>
  <m:mathPr>
    <m:mathFont m:val="Cambria Math"/>
    <m:brkBin m:val="before"/>
    <m:brkBinSub m:val="--"/>
    <m:smallFrac m:val="off"/>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allout" idref="#Line Callout 1 (Border and Accent Bar) 15"/>
        <o:r id="V:Rule2" type="callout" idref="#Line Callout 1 (Border and Accent Bar) 14"/>
        <o:r id="V:Rule3" type="callout" idref="#Line Callout 1 18"/>
        <o:r id="V:Rule4" type="callout" idref="#Line Callout 1 1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DB6"/>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D72DB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72DB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72D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D72DB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DB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D72DB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D72DB6"/>
    <w:rPr>
      <w:rFonts w:asciiTheme="majorHAnsi" w:eastAsiaTheme="majorEastAsia" w:hAnsiTheme="majorHAnsi" w:cstheme="majorBidi"/>
      <w:color w:val="1F4D78" w:themeColor="accent1" w:themeShade="7F"/>
      <w:sz w:val="24"/>
      <w:szCs w:val="24"/>
    </w:rPr>
  </w:style>
  <w:style w:type="character" w:customStyle="1" w:styleId="Heading5Char">
    <w:name w:val="Heading 5 Char"/>
    <w:basedOn w:val="DefaultParagraphFont"/>
    <w:link w:val="Heading5"/>
    <w:uiPriority w:val="9"/>
    <w:semiHidden/>
    <w:rsid w:val="00D72DB6"/>
    <w:rPr>
      <w:rFonts w:asciiTheme="majorHAnsi" w:eastAsiaTheme="majorEastAsia" w:hAnsiTheme="majorHAnsi" w:cstheme="majorBidi"/>
      <w:color w:val="2E74B5" w:themeColor="accent1" w:themeShade="BF"/>
    </w:rPr>
  </w:style>
  <w:style w:type="character" w:styleId="Hyperlink">
    <w:name w:val="Hyperlink"/>
    <w:basedOn w:val="DefaultParagraphFont"/>
    <w:uiPriority w:val="99"/>
    <w:semiHidden/>
    <w:unhideWhenUsed/>
    <w:rsid w:val="00D72DB6"/>
    <w:rPr>
      <w:color w:val="0000FF"/>
      <w:u w:val="single"/>
    </w:rPr>
  </w:style>
  <w:style w:type="character" w:styleId="FollowedHyperlink">
    <w:name w:val="FollowedHyperlink"/>
    <w:basedOn w:val="DefaultParagraphFont"/>
    <w:uiPriority w:val="99"/>
    <w:semiHidden/>
    <w:unhideWhenUsed/>
    <w:rsid w:val="00D72DB6"/>
    <w:rPr>
      <w:color w:val="954F72" w:themeColor="followedHyperlink"/>
      <w:u w:val="single"/>
    </w:rPr>
  </w:style>
  <w:style w:type="paragraph" w:styleId="NormalWeb">
    <w:name w:val="Normal (Web)"/>
    <w:basedOn w:val="Normal"/>
    <w:uiPriority w:val="99"/>
    <w:semiHidden/>
    <w:unhideWhenUsed/>
    <w:rsid w:val="00D72DB6"/>
    <w:pPr>
      <w:spacing w:before="100" w:beforeAutospacing="1" w:after="100" w:afterAutospacing="1" w:line="240" w:lineRule="auto"/>
    </w:pPr>
    <w:rPr>
      <w:rFonts w:ascii="Times New Roman" w:eastAsia="Times New Roman" w:hAnsi="Times New Roman"/>
      <w:sz w:val="24"/>
      <w:szCs w:val="24"/>
      <w:lang w:eastAsia="sq-AL"/>
    </w:rPr>
  </w:style>
  <w:style w:type="paragraph" w:styleId="TOC1">
    <w:name w:val="toc 1"/>
    <w:basedOn w:val="Normal"/>
    <w:next w:val="Normal"/>
    <w:autoRedefine/>
    <w:uiPriority w:val="39"/>
    <w:semiHidden/>
    <w:unhideWhenUsed/>
    <w:rsid w:val="00D72DB6"/>
    <w:pPr>
      <w:tabs>
        <w:tab w:val="left" w:pos="270"/>
        <w:tab w:val="right" w:leader="dot" w:pos="9016"/>
      </w:tabs>
      <w:spacing w:after="100"/>
      <w:ind w:left="270" w:hanging="270"/>
    </w:pPr>
  </w:style>
  <w:style w:type="paragraph" w:styleId="TOC2">
    <w:name w:val="toc 2"/>
    <w:basedOn w:val="Normal"/>
    <w:next w:val="Normal"/>
    <w:autoRedefine/>
    <w:uiPriority w:val="39"/>
    <w:semiHidden/>
    <w:unhideWhenUsed/>
    <w:rsid w:val="00D72DB6"/>
    <w:pPr>
      <w:tabs>
        <w:tab w:val="right" w:leader="dot" w:pos="9016"/>
      </w:tabs>
      <w:spacing w:after="100" w:line="240" w:lineRule="auto"/>
      <w:ind w:left="540" w:hanging="324"/>
    </w:pPr>
  </w:style>
  <w:style w:type="paragraph" w:styleId="TOC3">
    <w:name w:val="toc 3"/>
    <w:basedOn w:val="Normal"/>
    <w:next w:val="Normal"/>
    <w:autoRedefine/>
    <w:uiPriority w:val="39"/>
    <w:semiHidden/>
    <w:unhideWhenUsed/>
    <w:rsid w:val="00D72DB6"/>
    <w:pPr>
      <w:tabs>
        <w:tab w:val="right" w:leader="dot" w:pos="9016"/>
      </w:tabs>
      <w:spacing w:after="100"/>
      <w:ind w:left="440"/>
    </w:pPr>
    <w:rPr>
      <w:rFonts w:ascii="Times New Roman" w:hAnsi="Times New Roman"/>
      <w:noProof/>
    </w:rPr>
  </w:style>
  <w:style w:type="paragraph" w:styleId="CommentText">
    <w:name w:val="annotation text"/>
    <w:basedOn w:val="Normal"/>
    <w:link w:val="CommentTextChar"/>
    <w:uiPriority w:val="99"/>
    <w:semiHidden/>
    <w:unhideWhenUsed/>
    <w:rsid w:val="00D72DB6"/>
    <w:pPr>
      <w:spacing w:line="240" w:lineRule="auto"/>
    </w:pPr>
    <w:rPr>
      <w:sz w:val="20"/>
      <w:szCs w:val="20"/>
    </w:rPr>
  </w:style>
  <w:style w:type="character" w:customStyle="1" w:styleId="CommentTextChar">
    <w:name w:val="Comment Text Char"/>
    <w:basedOn w:val="DefaultParagraphFont"/>
    <w:link w:val="CommentText"/>
    <w:uiPriority w:val="99"/>
    <w:semiHidden/>
    <w:rsid w:val="00D72DB6"/>
    <w:rPr>
      <w:rFonts w:ascii="Calibri" w:eastAsia="Calibri" w:hAnsi="Calibri" w:cs="Times New Roman"/>
      <w:sz w:val="20"/>
      <w:szCs w:val="20"/>
    </w:rPr>
  </w:style>
  <w:style w:type="paragraph" w:styleId="Header">
    <w:name w:val="header"/>
    <w:basedOn w:val="Normal"/>
    <w:link w:val="HeaderChar"/>
    <w:uiPriority w:val="99"/>
    <w:semiHidden/>
    <w:unhideWhenUsed/>
    <w:rsid w:val="00D72DB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72DB6"/>
    <w:rPr>
      <w:rFonts w:ascii="Calibri" w:eastAsia="Calibri" w:hAnsi="Calibri" w:cs="Times New Roman"/>
    </w:rPr>
  </w:style>
  <w:style w:type="paragraph" w:styleId="Footer">
    <w:name w:val="footer"/>
    <w:basedOn w:val="Normal"/>
    <w:link w:val="FooterChar"/>
    <w:uiPriority w:val="99"/>
    <w:semiHidden/>
    <w:unhideWhenUsed/>
    <w:rsid w:val="00D72DB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72DB6"/>
    <w:rPr>
      <w:rFonts w:ascii="Calibri" w:eastAsia="Calibri" w:hAnsi="Calibri" w:cs="Times New Roman"/>
    </w:rPr>
  </w:style>
  <w:style w:type="paragraph" w:styleId="Title">
    <w:name w:val="Title"/>
    <w:basedOn w:val="Normal"/>
    <w:link w:val="TitleChar1"/>
    <w:uiPriority w:val="99"/>
    <w:qFormat/>
    <w:rsid w:val="00D72DB6"/>
    <w:pPr>
      <w:spacing w:after="0" w:line="240" w:lineRule="auto"/>
      <w:jc w:val="center"/>
    </w:pPr>
    <w:rPr>
      <w:rFonts w:ascii="MS Mincho" w:eastAsia="MS Mincho"/>
      <w:sz w:val="28"/>
      <w:szCs w:val="20"/>
      <w:lang w:val="en-US"/>
    </w:rPr>
  </w:style>
  <w:style w:type="character" w:customStyle="1" w:styleId="TitleChar">
    <w:name w:val="Title Char"/>
    <w:basedOn w:val="DefaultParagraphFont"/>
    <w:uiPriority w:val="10"/>
    <w:rsid w:val="00D72DB6"/>
    <w:rPr>
      <w:rFonts w:asciiTheme="majorHAnsi" w:eastAsiaTheme="majorEastAsia" w:hAnsiTheme="majorHAnsi" w:cstheme="majorBidi"/>
      <w:spacing w:val="-10"/>
      <w:kern w:val="28"/>
      <w:sz w:val="56"/>
      <w:szCs w:val="56"/>
    </w:rPr>
  </w:style>
  <w:style w:type="paragraph" w:styleId="BodyText3">
    <w:name w:val="Body Text 3"/>
    <w:basedOn w:val="Normal"/>
    <w:link w:val="BodyText3Char"/>
    <w:uiPriority w:val="99"/>
    <w:semiHidden/>
    <w:unhideWhenUsed/>
    <w:rsid w:val="00D72DB6"/>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uiPriority w:val="99"/>
    <w:semiHidden/>
    <w:rsid w:val="00D72DB6"/>
    <w:rPr>
      <w:rFonts w:ascii="Times New Roman" w:eastAsia="Times New Roman" w:hAnsi="Times New Roman" w:cs="Times New Roman"/>
      <w:sz w:val="16"/>
      <w:szCs w:val="16"/>
      <w:lang w:val="en-US"/>
    </w:rPr>
  </w:style>
  <w:style w:type="paragraph" w:styleId="CommentSubject">
    <w:name w:val="annotation subject"/>
    <w:basedOn w:val="CommentText"/>
    <w:next w:val="CommentText"/>
    <w:link w:val="CommentSubjectChar"/>
    <w:uiPriority w:val="99"/>
    <w:semiHidden/>
    <w:unhideWhenUsed/>
    <w:rsid w:val="00D72DB6"/>
    <w:rPr>
      <w:b/>
      <w:bCs/>
    </w:rPr>
  </w:style>
  <w:style w:type="character" w:customStyle="1" w:styleId="CommentSubjectChar">
    <w:name w:val="Comment Subject Char"/>
    <w:basedOn w:val="CommentTextChar"/>
    <w:link w:val="CommentSubject"/>
    <w:uiPriority w:val="99"/>
    <w:semiHidden/>
    <w:rsid w:val="00D72DB6"/>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D72D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DB6"/>
    <w:rPr>
      <w:rFonts w:ascii="Segoe UI" w:eastAsia="Calibri" w:hAnsi="Segoe UI" w:cs="Segoe UI"/>
      <w:sz w:val="18"/>
      <w:szCs w:val="18"/>
    </w:rPr>
  </w:style>
  <w:style w:type="paragraph" w:styleId="NoSpacing">
    <w:name w:val="No Spacing"/>
    <w:basedOn w:val="Normal"/>
    <w:uiPriority w:val="1"/>
    <w:qFormat/>
    <w:rsid w:val="00D72DB6"/>
    <w:pPr>
      <w:spacing w:after="0" w:line="240" w:lineRule="auto"/>
    </w:pPr>
    <w:rPr>
      <w:rFonts w:ascii="Times New Roman" w:hAnsi="Times New Roman"/>
      <w:sz w:val="24"/>
      <w:szCs w:val="24"/>
      <w:lang w:val="en-US"/>
    </w:rPr>
  </w:style>
  <w:style w:type="character" w:customStyle="1" w:styleId="ListParagraphChar">
    <w:name w:val="List Paragraph Char"/>
    <w:link w:val="ListParagraph"/>
    <w:uiPriority w:val="34"/>
    <w:locked/>
    <w:rsid w:val="00D72DB6"/>
    <w:rPr>
      <w:rFonts w:ascii="Calibri" w:eastAsia="Calibri" w:hAnsi="Calibri" w:cs="Times New Roman"/>
    </w:rPr>
  </w:style>
  <w:style w:type="paragraph" w:styleId="ListParagraph">
    <w:name w:val="List Paragraph"/>
    <w:basedOn w:val="Normal"/>
    <w:link w:val="ListParagraphChar"/>
    <w:uiPriority w:val="34"/>
    <w:qFormat/>
    <w:rsid w:val="00D72DB6"/>
    <w:pPr>
      <w:ind w:left="720"/>
      <w:contextualSpacing/>
    </w:pPr>
  </w:style>
  <w:style w:type="paragraph" w:styleId="TOCHeading">
    <w:name w:val="TOC Heading"/>
    <w:basedOn w:val="Heading1"/>
    <w:next w:val="Normal"/>
    <w:uiPriority w:val="39"/>
    <w:semiHidden/>
    <w:unhideWhenUsed/>
    <w:qFormat/>
    <w:rsid w:val="00D72DB6"/>
    <w:pPr>
      <w:spacing w:line="256" w:lineRule="auto"/>
      <w:outlineLvl w:val="9"/>
    </w:pPr>
    <w:rPr>
      <w:lang w:val="en-US"/>
    </w:rPr>
  </w:style>
  <w:style w:type="paragraph" w:customStyle="1" w:styleId="Standard">
    <w:name w:val="Standard"/>
    <w:uiPriority w:val="99"/>
    <w:rsid w:val="00D72DB6"/>
    <w:pPr>
      <w:suppressAutoHyphens/>
      <w:autoSpaceDN w:val="0"/>
      <w:spacing w:after="0" w:line="240" w:lineRule="auto"/>
    </w:pPr>
    <w:rPr>
      <w:rFonts w:ascii="Calibri" w:eastAsia="SimSun" w:hAnsi="Calibri" w:cs="Lucida Sans"/>
      <w:kern w:val="3"/>
      <w:sz w:val="21"/>
      <w:szCs w:val="24"/>
      <w:lang w:val="en-GB" w:eastAsia="zh-CN" w:bidi="hi-IN"/>
    </w:rPr>
  </w:style>
  <w:style w:type="paragraph" w:customStyle="1" w:styleId="Default">
    <w:name w:val="Default"/>
    <w:uiPriority w:val="99"/>
    <w:rsid w:val="00D72DB6"/>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CommentReference">
    <w:name w:val="annotation reference"/>
    <w:basedOn w:val="DefaultParagraphFont"/>
    <w:uiPriority w:val="99"/>
    <w:semiHidden/>
    <w:unhideWhenUsed/>
    <w:rsid w:val="00D72DB6"/>
    <w:rPr>
      <w:sz w:val="16"/>
      <w:szCs w:val="16"/>
    </w:rPr>
  </w:style>
  <w:style w:type="character" w:customStyle="1" w:styleId="hps">
    <w:name w:val="hps"/>
    <w:basedOn w:val="DefaultParagraphFont"/>
    <w:rsid w:val="00D72DB6"/>
  </w:style>
  <w:style w:type="character" w:customStyle="1" w:styleId="TitleChar1">
    <w:name w:val="Title Char1"/>
    <w:basedOn w:val="DefaultParagraphFont"/>
    <w:link w:val="Title"/>
    <w:uiPriority w:val="99"/>
    <w:locked/>
    <w:rsid w:val="00D72DB6"/>
    <w:rPr>
      <w:rFonts w:ascii="MS Mincho" w:eastAsia="MS Mincho" w:hAnsi="Calibri" w:cs="Times New Roman"/>
      <w:sz w:val="28"/>
      <w:szCs w:val="20"/>
      <w:lang w:val="en-US"/>
    </w:rPr>
  </w:style>
  <w:style w:type="table" w:styleId="TableGrid">
    <w:name w:val="Table Grid"/>
    <w:basedOn w:val="TableNormal"/>
    <w:uiPriority w:val="39"/>
    <w:rsid w:val="00D72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D72DB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5">
    <w:name w:val="Plain Table 5"/>
    <w:basedOn w:val="TableNormal"/>
    <w:uiPriority w:val="45"/>
    <w:rsid w:val="00D72DB6"/>
    <w:pPr>
      <w:spacing w:after="0" w:line="240" w:lineRule="auto"/>
    </w:pPr>
    <w:tblPr>
      <w:tblStyleRowBandSize w:val="1"/>
      <w:tblStyleColBandSize w:val="1"/>
      <w:tblCellMar>
        <w:top w:w="0" w:type="dxa"/>
        <w:left w:w="108" w:type="dxa"/>
        <w:bottom w:w="0" w:type="dxa"/>
        <w:right w:w="108" w:type="dxa"/>
      </w:tblCellMar>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6ColorfulAccent1">
    <w:name w:val="Grid Table 6 Colorful Accent 1"/>
    <w:basedOn w:val="TableNormal"/>
    <w:uiPriority w:val="51"/>
    <w:rsid w:val="00D72DB6"/>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3Accent5">
    <w:name w:val="Grid Table 3 Accent 5"/>
    <w:basedOn w:val="TableNormal"/>
    <w:uiPriority w:val="48"/>
    <w:rsid w:val="00D72DB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GridTable7ColorfulAccent5">
    <w:name w:val="Grid Table 7 Colorful Accent 5"/>
    <w:basedOn w:val="TableNormal"/>
    <w:uiPriority w:val="52"/>
    <w:rsid w:val="00D72DB6"/>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GridTable6Colorful-Accent11">
    <w:name w:val="Grid Table 6 Colorful - Accent 11"/>
    <w:basedOn w:val="TableNormal"/>
    <w:uiPriority w:val="51"/>
    <w:rsid w:val="00D72DB6"/>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r="http://schemas.openxmlformats.org/officeDocument/2006/relationships" xmlns:w="http://schemas.openxmlformats.org/wordprocessingml/2006/main">
  <w:divs>
    <w:div w:id="616453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ARTURB~1.PAR\AppData\Local\Temp\RAPORTI%20VJETOR%202017-1.docx" TargetMode="External"/><Relationship Id="rId18" Type="http://schemas.openxmlformats.org/officeDocument/2006/relationships/hyperlink" Target="file:///C:\Users\ARTURB~1.PAR\AppData\Local\Temp\RAPORTI%20VJETOR%202017-1.docx" TargetMode="External"/><Relationship Id="rId26" Type="http://schemas.openxmlformats.org/officeDocument/2006/relationships/hyperlink" Target="file:///C:\Users\ARTURB~1.PAR\AppData\Local\Temp\RAPORTI%20VJETOR%202017-1.docx" TargetMode="External"/><Relationship Id="rId39" Type="http://schemas.openxmlformats.org/officeDocument/2006/relationships/hyperlink" Target="file:///C:\Users\ARTURB~1.PAR\AppData\Local\Temp\RAPORTI%20VJETOR%202017-1.docx" TargetMode="External"/><Relationship Id="rId21" Type="http://schemas.openxmlformats.org/officeDocument/2006/relationships/hyperlink" Target="file:///C:\Users\ARTURB~1.PAR\AppData\Local\Temp\RAPORTI%20VJETOR%202017-1.docx" TargetMode="External"/><Relationship Id="rId34" Type="http://schemas.openxmlformats.org/officeDocument/2006/relationships/hyperlink" Target="file:///C:\Users\ARTURB~1.PAR\AppData\Local\Temp\RAPORTI%20VJETOR%202017-1.docx" TargetMode="External"/><Relationship Id="rId42" Type="http://schemas.openxmlformats.org/officeDocument/2006/relationships/diagramData" Target="diagrams/data1.xml"/><Relationship Id="rId47" Type="http://schemas.openxmlformats.org/officeDocument/2006/relationships/chart" Target="charts/chart1.xml"/><Relationship Id="rId50" Type="http://schemas.openxmlformats.org/officeDocument/2006/relationships/chart" Target="charts/chart4.xml"/><Relationship Id="rId55" Type="http://schemas.openxmlformats.org/officeDocument/2006/relationships/diagramQuickStyle" Target="diagrams/quickStyle2.xml"/><Relationship Id="rId63" Type="http://schemas.openxmlformats.org/officeDocument/2006/relationships/diagramColors" Target="diagrams/colors3.xml"/><Relationship Id="rId68" Type="http://schemas.openxmlformats.org/officeDocument/2006/relationships/hyperlink" Target="http://www.idp.al/wp-content/uploads/2017/02/Programi_i_punes_KDIMDP_2017.pdf" TargetMode="External"/><Relationship Id="rId7" Type="http://schemas.openxmlformats.org/officeDocument/2006/relationships/hyperlink" Target="file:///C:\Users\ARTURB~1.PAR\AppData\Local\Temp\RAPORTI%20VJETOR%202017-1.docx" TargetMode="External"/><Relationship Id="rId2" Type="http://schemas.openxmlformats.org/officeDocument/2006/relationships/styles" Target="styles.xml"/><Relationship Id="rId16" Type="http://schemas.openxmlformats.org/officeDocument/2006/relationships/hyperlink" Target="file:///C:\Users\ARTURB~1.PAR\AppData\Local\Temp\RAPORTI%20VJETOR%202017-1.docx" TargetMode="External"/><Relationship Id="rId29" Type="http://schemas.openxmlformats.org/officeDocument/2006/relationships/hyperlink" Target="file:///C:\Users\ARTURB~1.PAR\AppData\Local\Temp\RAPORTI%20VJETOR%202017-1.docx" TargetMode="External"/><Relationship Id="rId1" Type="http://schemas.openxmlformats.org/officeDocument/2006/relationships/numbering" Target="numbering.xml"/><Relationship Id="rId6" Type="http://schemas.openxmlformats.org/officeDocument/2006/relationships/hyperlink" Target="file:///C:\Users\ARTURB~1.PAR\AppData\Local\Temp\RAPORTI%20VJETOR%202017-1.docx" TargetMode="External"/><Relationship Id="rId11" Type="http://schemas.openxmlformats.org/officeDocument/2006/relationships/hyperlink" Target="file:///C:\Users\ARTURB~1.PAR\AppData\Local\Temp\RAPORTI%20VJETOR%202017-1.docx" TargetMode="External"/><Relationship Id="rId24" Type="http://schemas.openxmlformats.org/officeDocument/2006/relationships/hyperlink" Target="file:///C:\Users\ARTURB~1.PAR\AppData\Local\Temp\RAPORTI%20VJETOR%202017-1.docx" TargetMode="External"/><Relationship Id="rId32" Type="http://schemas.openxmlformats.org/officeDocument/2006/relationships/hyperlink" Target="file:///C:\Users\ARTURB~1.PAR\AppData\Local\Temp\RAPORTI%20VJETOR%202017-1.docx" TargetMode="External"/><Relationship Id="rId37" Type="http://schemas.openxmlformats.org/officeDocument/2006/relationships/hyperlink" Target="file:///C:\Users\ARTURB~1.PAR\AppData\Local\Temp\RAPORTI%20VJETOR%202017-1.docx" TargetMode="External"/><Relationship Id="rId40" Type="http://schemas.openxmlformats.org/officeDocument/2006/relationships/hyperlink" Target="file:///C:\Users\ARTURB~1.PAR\AppData\Local\Temp\RAPORTI%20VJETOR%202017-1.docx" TargetMode="External"/><Relationship Id="rId45" Type="http://schemas.openxmlformats.org/officeDocument/2006/relationships/diagramColors" Target="diagrams/colors1.xml"/><Relationship Id="rId53" Type="http://schemas.openxmlformats.org/officeDocument/2006/relationships/diagramData" Target="diagrams/data2.xml"/><Relationship Id="rId58" Type="http://schemas.openxmlformats.org/officeDocument/2006/relationships/chart" Target="charts/chart7.xml"/><Relationship Id="rId66" Type="http://schemas.openxmlformats.org/officeDocument/2006/relationships/chart" Target="charts/chart10.xml"/><Relationship Id="rId5" Type="http://schemas.openxmlformats.org/officeDocument/2006/relationships/image" Target="media/image1.png"/><Relationship Id="rId15" Type="http://schemas.openxmlformats.org/officeDocument/2006/relationships/hyperlink" Target="file:///C:\Users\ARTURB~1.PAR\AppData\Local\Temp\RAPORTI%20VJETOR%202017-1.docx" TargetMode="External"/><Relationship Id="rId23" Type="http://schemas.openxmlformats.org/officeDocument/2006/relationships/hyperlink" Target="file:///C:\Users\ARTURB~1.PAR\AppData\Local\Temp\RAPORTI%20VJETOR%202017-1.docx" TargetMode="External"/><Relationship Id="rId28" Type="http://schemas.openxmlformats.org/officeDocument/2006/relationships/hyperlink" Target="file:///C:\Users\ARTURB~1.PAR\AppData\Local\Temp\RAPORTI%20VJETOR%202017-1.docx" TargetMode="External"/><Relationship Id="rId36" Type="http://schemas.openxmlformats.org/officeDocument/2006/relationships/hyperlink" Target="file:///C:\Users\ARTURB~1.PAR\AppData\Local\Temp\RAPORTI%20VJETOR%202017-1.docx" TargetMode="External"/><Relationship Id="rId49" Type="http://schemas.openxmlformats.org/officeDocument/2006/relationships/chart" Target="charts/chart3.xml"/><Relationship Id="rId57" Type="http://schemas.microsoft.com/office/2007/relationships/diagramDrawing" Target="diagrams/drawing2.xml"/><Relationship Id="rId61" Type="http://schemas.openxmlformats.org/officeDocument/2006/relationships/diagramLayout" Target="diagrams/layout3.xml"/><Relationship Id="rId10" Type="http://schemas.openxmlformats.org/officeDocument/2006/relationships/hyperlink" Target="file:///C:\Users\ARTURB~1.PAR\AppData\Local\Temp\RAPORTI%20VJETOR%202017-1.docx" TargetMode="External"/><Relationship Id="rId19" Type="http://schemas.openxmlformats.org/officeDocument/2006/relationships/hyperlink" Target="file:///C:\Users\ARTURB~1.PAR\AppData\Local\Temp\RAPORTI%20VJETOR%202017-1.docx" TargetMode="External"/><Relationship Id="rId31" Type="http://schemas.openxmlformats.org/officeDocument/2006/relationships/hyperlink" Target="file:///C:\Users\ARTURB~1.PAR\AppData\Local\Temp\RAPORTI%20VJETOR%202017-1.docx" TargetMode="External"/><Relationship Id="rId44" Type="http://schemas.openxmlformats.org/officeDocument/2006/relationships/diagramQuickStyle" Target="diagrams/quickStyle1.xml"/><Relationship Id="rId52" Type="http://schemas.openxmlformats.org/officeDocument/2006/relationships/chart" Target="charts/chart6.xml"/><Relationship Id="rId60" Type="http://schemas.openxmlformats.org/officeDocument/2006/relationships/diagramData" Target="diagrams/data3.xml"/><Relationship Id="rId65" Type="http://schemas.openxmlformats.org/officeDocument/2006/relationships/chart" Target="charts/chart9.xml"/><Relationship Id="rId4" Type="http://schemas.openxmlformats.org/officeDocument/2006/relationships/webSettings" Target="webSettings.xml"/><Relationship Id="rId9" Type="http://schemas.openxmlformats.org/officeDocument/2006/relationships/hyperlink" Target="file:///C:\Users\ARTURB~1.PAR\AppData\Local\Temp\RAPORTI%20VJETOR%202017-1.docx" TargetMode="External"/><Relationship Id="rId14" Type="http://schemas.openxmlformats.org/officeDocument/2006/relationships/hyperlink" Target="file:///C:\Users\ARTURB~1.PAR\AppData\Local\Temp\RAPORTI%20VJETOR%202017-1.docx" TargetMode="External"/><Relationship Id="rId22" Type="http://schemas.openxmlformats.org/officeDocument/2006/relationships/hyperlink" Target="file:///C:\Users\ARTURB~1.PAR\AppData\Local\Temp\RAPORTI%20VJETOR%202017-1.docx" TargetMode="External"/><Relationship Id="rId27" Type="http://schemas.openxmlformats.org/officeDocument/2006/relationships/hyperlink" Target="file:///C:\Users\ARTURB~1.PAR\AppData\Local\Temp\RAPORTI%20VJETOR%202017-1.docx" TargetMode="External"/><Relationship Id="rId30" Type="http://schemas.openxmlformats.org/officeDocument/2006/relationships/hyperlink" Target="file:///C:\Users\ARTURB~1.PAR\AppData\Local\Temp\RAPORTI%20VJETOR%202017-1.docx" TargetMode="External"/><Relationship Id="rId35" Type="http://schemas.openxmlformats.org/officeDocument/2006/relationships/hyperlink" Target="file:///C:\Users\ARTURB~1.PAR\AppData\Local\Temp\RAPORTI%20VJETOR%202017-1.docx" TargetMode="External"/><Relationship Id="rId43" Type="http://schemas.openxmlformats.org/officeDocument/2006/relationships/diagramLayout" Target="diagrams/layout1.xml"/><Relationship Id="rId48" Type="http://schemas.openxmlformats.org/officeDocument/2006/relationships/chart" Target="charts/chart2.xml"/><Relationship Id="rId56" Type="http://schemas.openxmlformats.org/officeDocument/2006/relationships/diagramColors" Target="diagrams/colors2.xml"/><Relationship Id="rId64" Type="http://schemas.microsoft.com/office/2007/relationships/diagramDrawing" Target="diagrams/drawing3.xml"/><Relationship Id="rId69" Type="http://schemas.openxmlformats.org/officeDocument/2006/relationships/fontTable" Target="fontTable.xml"/><Relationship Id="rId8" Type="http://schemas.openxmlformats.org/officeDocument/2006/relationships/hyperlink" Target="file:///C:\Users\ARTURB~1.PAR\AppData\Local\Temp\RAPORTI%20VJETOR%202017-1.docx" TargetMode="External"/><Relationship Id="rId51" Type="http://schemas.openxmlformats.org/officeDocument/2006/relationships/chart" Target="charts/chart5.xml"/><Relationship Id="rId3" Type="http://schemas.openxmlformats.org/officeDocument/2006/relationships/settings" Target="settings.xml"/><Relationship Id="rId12" Type="http://schemas.openxmlformats.org/officeDocument/2006/relationships/hyperlink" Target="file:///C:\Users\ARTURB~1.PAR\AppData\Local\Temp\RAPORTI%20VJETOR%202017-1.docx" TargetMode="External"/><Relationship Id="rId17" Type="http://schemas.openxmlformats.org/officeDocument/2006/relationships/hyperlink" Target="file:///C:\Users\ARTURB~1.PAR\AppData\Local\Temp\RAPORTI%20VJETOR%202017-1.docx" TargetMode="External"/><Relationship Id="rId25" Type="http://schemas.openxmlformats.org/officeDocument/2006/relationships/hyperlink" Target="file:///C:\Users\ARTURB~1.PAR\AppData\Local\Temp\RAPORTI%20VJETOR%202017-1.docx" TargetMode="External"/><Relationship Id="rId33" Type="http://schemas.openxmlformats.org/officeDocument/2006/relationships/hyperlink" Target="file:///C:\Users\ARTURB~1.PAR\AppData\Local\Temp\RAPORTI%20VJETOR%202017-1.docx" TargetMode="External"/><Relationship Id="rId38" Type="http://schemas.openxmlformats.org/officeDocument/2006/relationships/hyperlink" Target="file:///C:\Users\ARTURB~1.PAR\AppData\Local\Temp\RAPORTI%20VJETOR%202017-1.docx" TargetMode="External"/><Relationship Id="rId46" Type="http://schemas.microsoft.com/office/2007/relationships/diagramDrawing" Target="diagrams/drawing1.xml"/><Relationship Id="rId59" Type="http://schemas.openxmlformats.org/officeDocument/2006/relationships/chart" Target="charts/chart8.xml"/><Relationship Id="rId67" Type="http://schemas.openxmlformats.org/officeDocument/2006/relationships/hyperlink" Target="https://icdppc.org/the-conference-and-executive-committee/executive-committee/" TargetMode="External"/><Relationship Id="rId20" Type="http://schemas.openxmlformats.org/officeDocument/2006/relationships/hyperlink" Target="file:///C:\Users\ARTURB~1.PAR\AppData\Local\Temp\RAPORTI%20VJETOR%202017-1.docx" TargetMode="External"/><Relationship Id="rId41" Type="http://schemas.openxmlformats.org/officeDocument/2006/relationships/hyperlink" Target="file:///C:\Users\ARTURB~1.PAR\AppData\Local\Temp\RAPORTI%20VJETOR%202017-1.docx" TargetMode="External"/><Relationship Id="rId54" Type="http://schemas.openxmlformats.org/officeDocument/2006/relationships/diagramLayout" Target="diagrams/layout2.xml"/><Relationship Id="rId62" Type="http://schemas.openxmlformats.org/officeDocument/2006/relationships/diagramQuickStyle" Target="diagrams/quickStyle3.xml"/><Relationship Id="rId7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Worksheet1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sq-AL"/>
  <c:chart>
    <c:title>
      <c:tx>
        <c:rich>
          <a:bodyPr rot="0" spcFirstLastPara="1" vertOverflow="ellipsis" vert="horz" wrap="square" anchor="ctr" anchorCtr="1"/>
          <a:lstStyle/>
          <a:p>
            <a:pPr>
              <a:defRPr sz="1400" b="1" i="0" u="none" strike="noStrike" kern="1200" spc="0" baseline="0">
                <a:solidFill>
                  <a:schemeClr val="accent1">
                    <a:lumMod val="50000"/>
                  </a:schemeClr>
                </a:solidFill>
                <a:latin typeface="Times New Roman" panose="02020603050405020304" pitchFamily="18" charset="0"/>
                <a:ea typeface="+mn-ea"/>
                <a:cs typeface="Times New Roman" panose="02020603050405020304" pitchFamily="18" charset="0"/>
              </a:defRPr>
            </a:pPr>
            <a:r>
              <a:rPr lang="en-US" sz="1200" b="1">
                <a:solidFill>
                  <a:sysClr val="windowText" lastClr="000000"/>
                </a:solidFill>
                <a:latin typeface="Times New Roman" panose="02020603050405020304" pitchFamily="18" charset="0"/>
                <a:cs typeface="Times New Roman" panose="02020603050405020304" pitchFamily="18" charset="0"/>
              </a:rPr>
              <a:t>560 Ankesa në vitin 2017 </a:t>
            </a:r>
          </a:p>
        </c:rich>
      </c:tx>
      <c:layout>
        <c:manualLayout>
          <c:xMode val="edge"/>
          <c:yMode val="edge"/>
          <c:x val="1.2007187844599119E-3"/>
          <c:y val="2.7048963188835485E-3"/>
        </c:manualLayout>
      </c:layout>
      <c:spPr>
        <a:noFill/>
        <a:ln>
          <a:noFill/>
        </a:ln>
        <a:effectLst/>
      </c:spPr>
    </c:title>
    <c:plotArea>
      <c:layout>
        <c:manualLayout>
          <c:layoutTarget val="inner"/>
          <c:xMode val="edge"/>
          <c:yMode val="edge"/>
          <c:x val="5.349729325663289E-2"/>
          <c:y val="0.13034175132253548"/>
          <c:w val="0.4294693555964928"/>
          <c:h val="0.74964998111814463"/>
        </c:manualLayout>
      </c:layout>
      <c:doughnutChart>
        <c:varyColors val="1"/>
        <c:ser>
          <c:idx val="0"/>
          <c:order val="0"/>
          <c:tx>
            <c:strRef>
              <c:f>Sheet1!$B$1</c:f>
              <c:strCache>
                <c:ptCount val="1"/>
                <c:pt idx="0">
                  <c:v>560 Ankesa në vitin 2017 </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Pt>
            <c:idx val="4"/>
            <c:spPr>
              <a:solidFill>
                <a:schemeClr val="accent5"/>
              </a:solidFill>
              <a:ln w="19050">
                <a:solidFill>
                  <a:schemeClr val="lt1"/>
                </a:solidFill>
              </a:ln>
              <a:effectLst/>
            </c:spPr>
          </c:dPt>
          <c:cat>
            <c:strRef>
              <c:f>Sheet1!$A$2:$A$6</c:f>
              <c:strCache>
                <c:ptCount val="5"/>
                <c:pt idx="0">
                  <c:v>Zgjidhur me ndërmjetësim 395</c:v>
                </c:pt>
                <c:pt idx="1">
                  <c:v>Shprehur me vendim 66</c:v>
                </c:pt>
                <c:pt idx="2">
                  <c:v>Jashtë objekti 77</c:v>
                </c:pt>
                <c:pt idx="3">
                  <c:v>Jashtë afati 8 </c:v>
                </c:pt>
                <c:pt idx="4">
                  <c:v>Të Paplota 14</c:v>
                </c:pt>
              </c:strCache>
            </c:strRef>
          </c:cat>
          <c:val>
            <c:numRef>
              <c:f>Sheet1!$B$2:$B$6</c:f>
              <c:numCache>
                <c:formatCode>General</c:formatCode>
                <c:ptCount val="5"/>
                <c:pt idx="0">
                  <c:v>395</c:v>
                </c:pt>
                <c:pt idx="1">
                  <c:v>66</c:v>
                </c:pt>
                <c:pt idx="2">
                  <c:v>77</c:v>
                </c:pt>
                <c:pt idx="3">
                  <c:v>8</c:v>
                </c:pt>
                <c:pt idx="4">
                  <c:v>14</c:v>
                </c:pt>
              </c:numCache>
            </c:numRef>
          </c:val>
        </c:ser>
        <c:firstSliceAng val="0"/>
        <c:holeSize val="75"/>
      </c:doughnutChart>
      <c:spPr>
        <a:noFill/>
        <a:ln>
          <a:noFill/>
        </a:ln>
        <a:effectLst/>
      </c:spPr>
    </c:plotArea>
    <c:legend>
      <c:legendPos val="r"/>
      <c:legendEntry>
        <c:idx val="0"/>
        <c:txPr>
          <a:bodyPr rot="0" spcFirstLastPara="1" vertOverflow="ellipsis" vert="horz" wrap="square" anchor="ctr" anchorCtr="1"/>
          <a:lstStyle/>
          <a:p>
            <a:pPr algn="just">
              <a:defRPr sz="1400" b="1" i="0" u="none" strike="noStrike" kern="1200" baseline="0">
                <a:solidFill>
                  <a:schemeClr val="accent1">
                    <a:lumMod val="75000"/>
                  </a:schemeClr>
                </a:solidFill>
                <a:latin typeface="Times New Roman" panose="02020603050405020304" pitchFamily="18" charset="0"/>
                <a:ea typeface="+mn-ea"/>
                <a:cs typeface="Times New Roman" panose="02020603050405020304" pitchFamily="18" charset="0"/>
              </a:defRPr>
            </a:pPr>
            <a:endParaRPr lang="sq-AL"/>
          </a:p>
        </c:txPr>
      </c:legendEntry>
      <c:legendEntry>
        <c:idx val="1"/>
        <c:txPr>
          <a:bodyPr rot="0" spcFirstLastPara="1" vertOverflow="ellipsis" vert="horz" wrap="square" anchor="ctr" anchorCtr="1"/>
          <a:lstStyle/>
          <a:p>
            <a:pPr algn="just">
              <a:defRPr sz="1400" b="1" i="0" u="none" strike="noStrike" kern="1200" baseline="0">
                <a:solidFill>
                  <a:schemeClr val="accent2">
                    <a:lumMod val="75000"/>
                  </a:schemeClr>
                </a:solidFill>
                <a:latin typeface="Times New Roman" panose="02020603050405020304" pitchFamily="18" charset="0"/>
                <a:ea typeface="+mn-ea"/>
                <a:cs typeface="Times New Roman" panose="02020603050405020304" pitchFamily="18" charset="0"/>
              </a:defRPr>
            </a:pPr>
            <a:endParaRPr lang="sq-AL"/>
          </a:p>
        </c:txPr>
      </c:legendEntry>
      <c:legendEntry>
        <c:idx val="2"/>
        <c:txPr>
          <a:bodyPr rot="0" spcFirstLastPara="1" vertOverflow="ellipsis" vert="horz" wrap="square" anchor="ctr" anchorCtr="1"/>
          <a:lstStyle/>
          <a:p>
            <a:pPr algn="just">
              <a:defRPr sz="1400" b="1"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sq-AL"/>
          </a:p>
        </c:txPr>
      </c:legendEntry>
      <c:legendEntry>
        <c:idx val="3"/>
        <c:txPr>
          <a:bodyPr rot="0" spcFirstLastPara="1" vertOverflow="ellipsis" vert="horz" wrap="square" anchor="ctr" anchorCtr="1"/>
          <a:lstStyle/>
          <a:p>
            <a:pPr algn="just">
              <a:defRPr sz="1400" b="1" i="0" u="none" strike="noStrike" kern="1200" baseline="0">
                <a:solidFill>
                  <a:srgbClr val="FFC000"/>
                </a:solidFill>
                <a:latin typeface="Times New Roman" panose="02020603050405020304" pitchFamily="18" charset="0"/>
                <a:ea typeface="+mn-ea"/>
                <a:cs typeface="Times New Roman" panose="02020603050405020304" pitchFamily="18" charset="0"/>
              </a:defRPr>
            </a:pPr>
            <a:endParaRPr lang="sq-AL"/>
          </a:p>
        </c:txPr>
      </c:legendEntry>
      <c:legendEntry>
        <c:idx val="4"/>
        <c:txPr>
          <a:bodyPr rot="0" spcFirstLastPara="1" vertOverflow="ellipsis" vert="horz" wrap="square" anchor="ctr" anchorCtr="1"/>
          <a:lstStyle/>
          <a:p>
            <a:pPr algn="just">
              <a:defRPr sz="1400" b="0" i="0" u="none" strike="noStrike" kern="1200" baseline="0">
                <a:solidFill>
                  <a:schemeClr val="accent5">
                    <a:lumMod val="75000"/>
                  </a:schemeClr>
                </a:solidFill>
                <a:latin typeface="Times New Roman" panose="02020603050405020304" pitchFamily="18" charset="0"/>
                <a:ea typeface="+mn-ea"/>
                <a:cs typeface="Times New Roman" panose="02020603050405020304" pitchFamily="18" charset="0"/>
              </a:defRPr>
            </a:pPr>
            <a:endParaRPr lang="sq-AL"/>
          </a:p>
        </c:txPr>
      </c:legendEntry>
      <c:layout>
        <c:manualLayout>
          <c:xMode val="edge"/>
          <c:yMode val="edge"/>
          <c:x val="0.45410096241558084"/>
          <c:y val="0.166934206595686"/>
          <c:w val="0.47003272632749898"/>
          <c:h val="0.58654055489348"/>
        </c:manualLayout>
      </c:layout>
      <c:spPr>
        <a:noFill/>
        <a:ln>
          <a:noFill/>
        </a:ln>
        <a:effectLst/>
      </c:spPr>
      <c:txPr>
        <a:bodyPr rot="0" spcFirstLastPara="1" vertOverflow="ellipsis" vert="horz" wrap="square" anchor="ctr" anchorCtr="1"/>
        <a:lstStyle/>
        <a:p>
          <a:pPr algn="just">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q-AL"/>
        </a:p>
      </c:txPr>
    </c:legend>
    <c:plotVisOnly val="1"/>
    <c:dispBlanksAs val="zero"/>
  </c:chart>
  <c:spPr>
    <a:solidFill>
      <a:schemeClr val="bg1"/>
    </a:solidFill>
    <a:ln w="9525" cap="flat" cmpd="sng" algn="ctr">
      <a:solidFill>
        <a:schemeClr val="bg1"/>
      </a:solidFill>
      <a:round/>
    </a:ln>
    <a:effectLst/>
  </c:spPr>
  <c:txPr>
    <a:bodyPr/>
    <a:lstStyle/>
    <a:p>
      <a:pPr>
        <a:defRPr/>
      </a:pPr>
      <a:endParaRPr lang="sq-AL"/>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sq-AL"/>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Sheet1!$B$1</c:f>
              <c:strCache>
                <c:ptCount val="1"/>
                <c:pt idx="0">
                  <c:v>2014</c:v>
                </c:pt>
              </c:strCache>
            </c:strRef>
          </c:tx>
          <c:spPr>
            <a:solidFill>
              <a:schemeClr val="accent1"/>
            </a:solidFill>
            <a:ln>
              <a:noFill/>
            </a:ln>
            <a:effectLst/>
            <a:sp3d/>
          </c:spPr>
          <c:cat>
            <c:strRef>
              <c:f>Sheet1!$A$2:$A$8</c:f>
              <c:strCache>
                <c:ptCount val="7"/>
                <c:pt idx="0">
                  <c:v>Dhënie mendimi për p/ligje</c:v>
                </c:pt>
                <c:pt idx="1">
                  <c:v>Dhënie mendimi për p/vendime, p/marrëveshje, p/udhëzimeve etj </c:v>
                </c:pt>
                <c:pt idx="2">
                  <c:v>Marrëveshje të hartuara</c:v>
                </c:pt>
                <c:pt idx="3">
                  <c:v>Raportime</c:v>
                </c:pt>
                <c:pt idx="4">
                  <c:v>Dokumente të rëndësishme</c:v>
                </c:pt>
                <c:pt idx="5">
                  <c:v>Opinione/Asistenca/Përgjigje</c:v>
                </c:pt>
                <c:pt idx="6">
                  <c:v>Akte të miratuara</c:v>
                </c:pt>
              </c:strCache>
            </c:strRef>
          </c:cat>
          <c:val>
            <c:numRef>
              <c:f>Sheet1!$B$2:$B$8</c:f>
              <c:numCache>
                <c:formatCode>General</c:formatCode>
                <c:ptCount val="7"/>
                <c:pt idx="0">
                  <c:v>10</c:v>
                </c:pt>
                <c:pt idx="1">
                  <c:v>19</c:v>
                </c:pt>
                <c:pt idx="2">
                  <c:v>5</c:v>
                </c:pt>
                <c:pt idx="3">
                  <c:v>4</c:v>
                </c:pt>
                <c:pt idx="4">
                  <c:v>9</c:v>
                </c:pt>
                <c:pt idx="5">
                  <c:v>59</c:v>
                </c:pt>
              </c:numCache>
            </c:numRef>
          </c:val>
        </c:ser>
        <c:ser>
          <c:idx val="1"/>
          <c:order val="1"/>
          <c:tx>
            <c:strRef>
              <c:f>Sheet1!$C$1</c:f>
              <c:strCache>
                <c:ptCount val="1"/>
                <c:pt idx="0">
                  <c:v>2015</c:v>
                </c:pt>
              </c:strCache>
            </c:strRef>
          </c:tx>
          <c:spPr>
            <a:solidFill>
              <a:schemeClr val="accent2"/>
            </a:solidFill>
            <a:ln>
              <a:noFill/>
            </a:ln>
            <a:effectLst/>
            <a:sp3d/>
          </c:spPr>
          <c:cat>
            <c:strRef>
              <c:f>Sheet1!$A$2:$A$8</c:f>
              <c:strCache>
                <c:ptCount val="7"/>
                <c:pt idx="0">
                  <c:v>Dhënie mendimi për p/ligje</c:v>
                </c:pt>
                <c:pt idx="1">
                  <c:v>Dhënie mendimi për p/vendime, p/marrëveshje, p/udhëzimeve etj </c:v>
                </c:pt>
                <c:pt idx="2">
                  <c:v>Marrëveshje të hartuara</c:v>
                </c:pt>
                <c:pt idx="3">
                  <c:v>Raportime</c:v>
                </c:pt>
                <c:pt idx="4">
                  <c:v>Dokumente të rëndësishme</c:v>
                </c:pt>
                <c:pt idx="5">
                  <c:v>Opinione/Asistenca/Përgjigje</c:v>
                </c:pt>
                <c:pt idx="6">
                  <c:v>Akte të miratuara</c:v>
                </c:pt>
              </c:strCache>
            </c:strRef>
          </c:cat>
          <c:val>
            <c:numRef>
              <c:f>Sheet1!$C$2:$C$8</c:f>
              <c:numCache>
                <c:formatCode>General</c:formatCode>
                <c:ptCount val="7"/>
                <c:pt idx="0">
                  <c:v>15</c:v>
                </c:pt>
                <c:pt idx="1">
                  <c:v>21</c:v>
                </c:pt>
                <c:pt idx="2">
                  <c:v>6</c:v>
                </c:pt>
                <c:pt idx="3">
                  <c:v>13</c:v>
                </c:pt>
                <c:pt idx="4">
                  <c:v>6</c:v>
                </c:pt>
                <c:pt idx="5">
                  <c:v>65</c:v>
                </c:pt>
              </c:numCache>
            </c:numRef>
          </c:val>
        </c:ser>
        <c:ser>
          <c:idx val="2"/>
          <c:order val="2"/>
          <c:tx>
            <c:strRef>
              <c:f>Sheet1!$D$1</c:f>
              <c:strCache>
                <c:ptCount val="1"/>
                <c:pt idx="0">
                  <c:v>2016</c:v>
                </c:pt>
              </c:strCache>
            </c:strRef>
          </c:tx>
          <c:spPr>
            <a:solidFill>
              <a:schemeClr val="accent3"/>
            </a:solidFill>
            <a:ln>
              <a:noFill/>
            </a:ln>
            <a:effectLst/>
            <a:sp3d/>
          </c:spPr>
          <c:cat>
            <c:strRef>
              <c:f>Sheet1!$A$2:$A$8</c:f>
              <c:strCache>
                <c:ptCount val="7"/>
                <c:pt idx="0">
                  <c:v>Dhënie mendimi për p/ligje</c:v>
                </c:pt>
                <c:pt idx="1">
                  <c:v>Dhënie mendimi për p/vendime, p/marrëveshje, p/udhëzimeve etj </c:v>
                </c:pt>
                <c:pt idx="2">
                  <c:v>Marrëveshje të hartuara</c:v>
                </c:pt>
                <c:pt idx="3">
                  <c:v>Raportime</c:v>
                </c:pt>
                <c:pt idx="4">
                  <c:v>Dokumente të rëndësishme</c:v>
                </c:pt>
                <c:pt idx="5">
                  <c:v>Opinione/Asistenca/Përgjigje</c:v>
                </c:pt>
                <c:pt idx="6">
                  <c:v>Akte të miratuara</c:v>
                </c:pt>
              </c:strCache>
            </c:strRef>
          </c:cat>
          <c:val>
            <c:numRef>
              <c:f>Sheet1!$D$2:$D$8</c:f>
              <c:numCache>
                <c:formatCode>General</c:formatCode>
                <c:ptCount val="7"/>
                <c:pt idx="0">
                  <c:v>11</c:v>
                </c:pt>
                <c:pt idx="1">
                  <c:v>4</c:v>
                </c:pt>
                <c:pt idx="2">
                  <c:v>1</c:v>
                </c:pt>
                <c:pt idx="3">
                  <c:v>6</c:v>
                </c:pt>
                <c:pt idx="4">
                  <c:v>7</c:v>
                </c:pt>
                <c:pt idx="5">
                  <c:v>70</c:v>
                </c:pt>
                <c:pt idx="6">
                  <c:v>9</c:v>
                </c:pt>
              </c:numCache>
            </c:numRef>
          </c:val>
        </c:ser>
        <c:ser>
          <c:idx val="3"/>
          <c:order val="3"/>
          <c:tx>
            <c:strRef>
              <c:f>Sheet1!$E$1</c:f>
              <c:strCache>
                <c:ptCount val="1"/>
                <c:pt idx="0">
                  <c:v>2017</c:v>
                </c:pt>
              </c:strCache>
            </c:strRef>
          </c:tx>
          <c:spPr>
            <a:solidFill>
              <a:schemeClr val="accent4"/>
            </a:solidFill>
            <a:ln>
              <a:noFill/>
            </a:ln>
            <a:effectLst/>
            <a:sp3d/>
          </c:spPr>
          <c:cat>
            <c:strRef>
              <c:f>Sheet1!$A$2:$A$8</c:f>
              <c:strCache>
                <c:ptCount val="7"/>
                <c:pt idx="0">
                  <c:v>Dhënie mendimi për p/ligje</c:v>
                </c:pt>
                <c:pt idx="1">
                  <c:v>Dhënie mendimi për p/vendime, p/marrëveshje, p/udhëzimeve etj </c:v>
                </c:pt>
                <c:pt idx="2">
                  <c:v>Marrëveshje të hartuara</c:v>
                </c:pt>
                <c:pt idx="3">
                  <c:v>Raportime</c:v>
                </c:pt>
                <c:pt idx="4">
                  <c:v>Dokumente të rëndësishme</c:v>
                </c:pt>
                <c:pt idx="5">
                  <c:v>Opinione/Asistenca/Përgjigje</c:v>
                </c:pt>
                <c:pt idx="6">
                  <c:v>Akte të miratuara</c:v>
                </c:pt>
              </c:strCache>
            </c:strRef>
          </c:cat>
          <c:val>
            <c:numRef>
              <c:f>Sheet1!$E$2:$E$8</c:f>
              <c:numCache>
                <c:formatCode>General</c:formatCode>
                <c:ptCount val="7"/>
                <c:pt idx="0">
                  <c:v>2</c:v>
                </c:pt>
                <c:pt idx="1">
                  <c:v>17</c:v>
                </c:pt>
                <c:pt idx="2">
                  <c:v>2</c:v>
                </c:pt>
                <c:pt idx="3">
                  <c:v>9</c:v>
                </c:pt>
                <c:pt idx="4">
                  <c:v>5</c:v>
                </c:pt>
                <c:pt idx="5">
                  <c:v>78</c:v>
                </c:pt>
                <c:pt idx="6">
                  <c:v>2</c:v>
                </c:pt>
              </c:numCache>
            </c:numRef>
          </c:val>
        </c:ser>
        <c:shape val="box"/>
        <c:axId val="139056256"/>
        <c:axId val="139057792"/>
        <c:axId val="0"/>
      </c:bar3DChart>
      <c:catAx>
        <c:axId val="139056256"/>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q-AL"/>
          </a:p>
        </c:txPr>
        <c:crossAx val="139057792"/>
        <c:crosses val="autoZero"/>
        <c:auto val="1"/>
        <c:lblAlgn val="ctr"/>
        <c:lblOffset val="100"/>
      </c:catAx>
      <c:valAx>
        <c:axId val="13905779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tickLblPos val="none"/>
        <c:crossAx val="139056256"/>
        <c:crosses val="autoZero"/>
        <c:crossBetween val="between"/>
      </c:valAx>
      <c:dTable>
        <c:showHorzBorder val="1"/>
        <c:showVertBorder val="1"/>
        <c:showOutline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q-AL"/>
          </a:p>
        </c:txPr>
      </c:dTable>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q-AL"/>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sq-AL"/>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sq-AL"/>
  <c:chart>
    <c:autoTitleDeleted val="1"/>
    <c:plotArea>
      <c:layout/>
      <c:barChart>
        <c:barDir val="bar"/>
        <c:grouping val="clustered"/>
        <c:ser>
          <c:idx val="0"/>
          <c:order val="0"/>
          <c:tx>
            <c:strRef>
              <c:f>Sheet1!$B$1</c:f>
              <c:strCache>
                <c:ptCount val="1"/>
                <c:pt idx="0">
                  <c:v>Series 1</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1600" b="0"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sq-AL"/>
              </a:p>
            </c:txPr>
            <c:dLblPos val="outEnd"/>
            <c:showVal val="1"/>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Viti 2014</c:v>
                </c:pt>
                <c:pt idx="1">
                  <c:v>Viti 2015</c:v>
                </c:pt>
                <c:pt idx="2">
                  <c:v>Viti 2016</c:v>
                </c:pt>
                <c:pt idx="3">
                  <c:v>Viti 2017</c:v>
                </c:pt>
              </c:strCache>
            </c:strRef>
          </c:cat>
          <c:val>
            <c:numRef>
              <c:f>Sheet1!$B$2:$B$5</c:f>
              <c:numCache>
                <c:formatCode>General</c:formatCode>
                <c:ptCount val="4"/>
                <c:pt idx="0">
                  <c:v>26</c:v>
                </c:pt>
                <c:pt idx="1">
                  <c:v>274</c:v>
                </c:pt>
                <c:pt idx="2">
                  <c:v>684</c:v>
                </c:pt>
                <c:pt idx="3">
                  <c:v>560</c:v>
                </c:pt>
              </c:numCache>
            </c:numRef>
          </c:val>
        </c:ser>
        <c:dLbls>
          <c:showVal val="1"/>
        </c:dLbls>
        <c:gapWidth val="269"/>
        <c:axId val="134422528"/>
        <c:axId val="134424064"/>
      </c:barChart>
      <c:catAx>
        <c:axId val="134422528"/>
        <c:scaling>
          <c:orientation val="minMax"/>
        </c:scaling>
        <c:axPos val="l"/>
        <c:numFmt formatCode="General" sourceLinked="1"/>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sq-AL"/>
          </a:p>
        </c:txPr>
        <c:crossAx val="134424064"/>
        <c:crosses val="autoZero"/>
        <c:auto val="1"/>
        <c:lblAlgn val="ctr"/>
        <c:lblOffset val="100"/>
      </c:catAx>
      <c:valAx>
        <c:axId val="134424064"/>
        <c:scaling>
          <c:orientation val="minMax"/>
        </c:scaling>
        <c:delete val="1"/>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tickLblPos val="none"/>
        <c:crossAx val="134422528"/>
        <c:crosses val="autoZero"/>
        <c:crossBetween val="between"/>
      </c:valAx>
      <c:spPr>
        <a:noFill/>
        <a:ln>
          <a:noFill/>
        </a:ln>
        <a:effectLst/>
      </c:spPr>
    </c:plotArea>
    <c:plotVisOnly val="1"/>
    <c:dispBlanksAs val="gap"/>
  </c:chart>
  <c:spPr>
    <a:solidFill>
      <a:schemeClr val="bg1"/>
    </a:solidFill>
    <a:ln w="9525" cap="flat" cmpd="sng" algn="ctr">
      <a:solidFill>
        <a:schemeClr val="bg1"/>
      </a:solidFill>
      <a:round/>
    </a:ln>
    <a:effectLst/>
  </c:spPr>
  <c:txPr>
    <a:bodyPr/>
    <a:lstStyle/>
    <a:p>
      <a:pPr>
        <a:defRPr/>
      </a:pPr>
      <a:endParaRPr lang="sq-AL"/>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sq-AL"/>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a:solidFill>
                  <a:srgbClr val="0070C0"/>
                </a:solidFill>
                <a:latin typeface="Times New Roman" panose="02020603050405020304" pitchFamily="18" charset="0"/>
                <a:cs typeface="Times New Roman" panose="02020603050405020304" pitchFamily="18" charset="0"/>
              </a:rPr>
              <a:t>Inspektime në vite 2014-2017</a:t>
            </a:r>
          </a:p>
        </c:rich>
      </c:tx>
      <c:layout>
        <c:manualLayout>
          <c:xMode val="edge"/>
          <c:yMode val="edge"/>
          <c:x val="0.32778880139982547"/>
          <c:y val="0"/>
        </c:manualLayout>
      </c:layout>
      <c:spPr>
        <a:noFill/>
        <a:ln>
          <a:noFill/>
        </a:ln>
        <a:effectLst/>
      </c:spPr>
    </c:title>
    <c:plotArea>
      <c:layout/>
      <c:lineChart>
        <c:grouping val="standard"/>
        <c:ser>
          <c:idx val="0"/>
          <c:order val="0"/>
          <c:tx>
            <c:strRef>
              <c:f>Sheet1!$B$1</c:f>
              <c:strCache>
                <c:ptCount val="1"/>
                <c:pt idx="0">
                  <c:v>Inspektime në vite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0.05"/>
                  <c:y val="-5.2989790957705431E-2"/>
                </c:manualLayout>
              </c:layout>
              <c:dLblPos val="r"/>
              <c:showVal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sq-AL"/>
              </a:p>
            </c:txPr>
            <c:dLblPos val="t"/>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2014</c:v>
                </c:pt>
                <c:pt idx="1">
                  <c:v>2015</c:v>
                </c:pt>
                <c:pt idx="2">
                  <c:v>2016</c:v>
                </c:pt>
                <c:pt idx="3">
                  <c:v>2017</c:v>
                </c:pt>
              </c:numCache>
            </c:numRef>
          </c:cat>
          <c:val>
            <c:numRef>
              <c:f>Sheet1!$B$2:$B$5</c:f>
              <c:numCache>
                <c:formatCode>General</c:formatCode>
                <c:ptCount val="4"/>
                <c:pt idx="0">
                  <c:v>5</c:v>
                </c:pt>
                <c:pt idx="1">
                  <c:v>102</c:v>
                </c:pt>
                <c:pt idx="2">
                  <c:v>95</c:v>
                </c:pt>
                <c:pt idx="3">
                  <c:v>98</c:v>
                </c:pt>
              </c:numCache>
            </c:numRef>
          </c:val>
        </c:ser>
        <c:marker val="1"/>
        <c:axId val="134464256"/>
        <c:axId val="134465792"/>
      </c:lineChart>
      <c:catAx>
        <c:axId val="13446425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1" i="0" u="none" strike="noStrike" kern="1200" baseline="0">
                <a:solidFill>
                  <a:srgbClr val="0070C0"/>
                </a:solidFill>
                <a:latin typeface="Times New Roman" panose="02020603050405020304" pitchFamily="18" charset="0"/>
                <a:ea typeface="+mn-ea"/>
                <a:cs typeface="Times New Roman" panose="02020603050405020304" pitchFamily="18" charset="0"/>
              </a:defRPr>
            </a:pPr>
            <a:endParaRPr lang="sq-AL"/>
          </a:p>
        </c:txPr>
        <c:crossAx val="134465792"/>
        <c:crosses val="autoZero"/>
        <c:auto val="1"/>
        <c:lblAlgn val="ctr"/>
        <c:lblOffset val="100"/>
      </c:catAx>
      <c:valAx>
        <c:axId val="134465792"/>
        <c:scaling>
          <c:orientation val="minMax"/>
        </c:scaling>
        <c:delete val="1"/>
        <c:axPos val="l"/>
        <c:majorGridlines>
          <c:spPr>
            <a:ln w="9525" cap="flat" cmpd="sng" algn="ctr">
              <a:solidFill>
                <a:srgbClr val="FF0000"/>
              </a:solidFill>
              <a:round/>
            </a:ln>
            <a:effectLst/>
          </c:spPr>
        </c:majorGridlines>
        <c:numFmt formatCode="General" sourceLinked="1"/>
        <c:majorTickMark val="none"/>
        <c:tickLblPos val="none"/>
        <c:crossAx val="134464256"/>
        <c:crosses val="autoZero"/>
        <c:crossBetween val="between"/>
      </c:valAx>
      <c:spPr>
        <a:noFill/>
        <a:ln>
          <a:noFill/>
        </a:ln>
        <a:effectLst/>
      </c:spPr>
    </c:plotArea>
    <c:plotVisOnly val="1"/>
    <c:dispBlanksAs val="gap"/>
  </c:chart>
  <c:spPr>
    <a:solidFill>
      <a:schemeClr val="bg1"/>
    </a:solidFill>
    <a:ln w="9525" cap="flat" cmpd="sng" algn="ctr">
      <a:solidFill>
        <a:schemeClr val="bg1"/>
      </a:solidFill>
      <a:round/>
    </a:ln>
    <a:effectLst/>
  </c:spPr>
  <c:txPr>
    <a:bodyPr/>
    <a:lstStyle/>
    <a:p>
      <a:pPr>
        <a:defRPr/>
      </a:pPr>
      <a:endParaRPr lang="sq-AL"/>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sq-AL"/>
  <c:chart>
    <c:autoTitleDeleted val="1"/>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
          <c:y val="0.24665388329049548"/>
          <c:w val="1"/>
          <c:h val="0.75295868429061974"/>
        </c:manualLayout>
      </c:layout>
      <c:pie3DChart>
        <c:varyColors val="1"/>
        <c:ser>
          <c:idx val="0"/>
          <c:order val="0"/>
          <c:tx>
            <c:strRef>
              <c:f>Sheet1!$B$1</c:f>
              <c:strCache>
                <c:ptCount val="1"/>
                <c:pt idx="0">
                  <c:v>66 Vendime për vitin 2017</c:v>
                </c:pt>
              </c:strCache>
            </c:strRef>
          </c:tx>
          <c:explosion val="12"/>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layout>
                <c:manualLayout>
                  <c:x val="8.7816470396952659E-2"/>
                  <c:y val="-4.0299517827974439E-2"/>
                </c:manualLayout>
              </c:layout>
              <c:tx>
                <c:rich>
                  <a:bodyPr rot="0" spcFirstLastPara="1" vertOverflow="ellipsis" vert="horz" wrap="square" lIns="38100" tIns="19050" rIns="38100" bIns="19050" anchor="ctr" anchorCtr="1">
                    <a:noAutofit/>
                  </a:bodyPr>
                  <a:lstStyle/>
                  <a:p>
                    <a:pPr>
                      <a:defRPr sz="12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fld id="{46B5C742-FA1E-467F-BF06-435D2B6F09BC}" type="CATEGORYNAME">
                      <a:rPr lang="en-US" sz="1200">
                        <a:solidFill>
                          <a:schemeClr val="accent1">
                            <a:lumMod val="75000"/>
                          </a:schemeClr>
                        </a:solidFill>
                      </a:rPr>
                      <a:pPr>
                        <a:defRPr sz="12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t>[CATEGORY NAME]</a:t>
                    </a:fld>
                    <a:endParaRPr lang="sq-AL"/>
                  </a:p>
                </c:rich>
              </c:tx>
              <c:spPr>
                <a:noFill/>
                <a:ln>
                  <a:noFill/>
                </a:ln>
                <a:effectLst/>
              </c:spPr>
              <c:dLblPos val="bestFit"/>
              <c:showCatName val="1"/>
              <c:extLst>
                <c:ext xmlns:c15="http://schemas.microsoft.com/office/drawing/2012/chart" uri="{CE6537A1-D6FC-4f65-9D91-7224C49458BB}">
                  <c15:layout>
                    <c:manualLayout>
                      <c:w val="0.23849547589446057"/>
                      <c:h val="0.15037148853802598"/>
                    </c:manualLayout>
                  </c15:layout>
                  <c15:dlblFieldTable/>
                  <c15:showDataLabelsRange val="0"/>
                </c:ext>
              </c:extLst>
            </c:dLbl>
            <c:dLbl>
              <c:idx val="1"/>
              <c:layout>
                <c:manualLayout>
                  <c:x val="-6.2952470884482248E-2"/>
                  <c:y val="4.5558086560364454E-2"/>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endParaRPr lang="sq-AL"/>
                </a:p>
              </c:txPr>
              <c:dLblPos val="bestFit"/>
              <c:showCatName val="1"/>
              <c:extLst>
                <c:ext xmlns:c15="http://schemas.microsoft.com/office/drawing/2012/chart" uri="{CE6537A1-D6FC-4f65-9D91-7224C49458BB}"/>
              </c:extLst>
            </c:dLbl>
            <c:dLbl>
              <c:idx val="2"/>
              <c:layout>
                <c:manualLayout>
                  <c:x val="0.29088987013558587"/>
                  <c:y val="-2.1109192093648053E-2"/>
                </c:manualLayout>
              </c:layout>
              <c:spPr>
                <a:noFill/>
                <a:ln>
                  <a:noFill/>
                </a:ln>
                <a:effectLst/>
              </c:spPr>
              <c:txPr>
                <a:bodyPr rot="0" spcFirstLastPara="1" vertOverflow="ellipsis" vert="horz" wrap="square" lIns="38100" tIns="19050" rIns="38100" bIns="19050" anchor="ctr" anchorCtr="1">
                  <a:noAutofit/>
                </a:bodyPr>
                <a:lstStyle/>
                <a:p>
                  <a:pPr>
                    <a:defRPr sz="1200" b="1" i="0" u="none" strike="noStrike" kern="1200" spc="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sq-AL"/>
                </a:p>
              </c:txPr>
              <c:dLblPos val="bestFit"/>
              <c:showCatName val="1"/>
              <c:extLst>
                <c:ext xmlns:c15="http://schemas.microsoft.com/office/drawing/2012/chart" uri="{CE6537A1-D6FC-4f65-9D91-7224C49458BB}">
                  <c15:layout>
                    <c:manualLayout>
                      <c:w val="0.24894047361452898"/>
                      <c:h val="0.1136058338130877"/>
                    </c:manualLayout>
                  </c15:layout>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chemeClr val="accent1"/>
                    </a:solidFill>
                    <a:latin typeface="+mn-lt"/>
                    <a:ea typeface="+mn-ea"/>
                    <a:cs typeface="+mn-cs"/>
                  </a:defRPr>
                </a:pPr>
                <a:endParaRPr lang="sq-AL"/>
              </a:p>
            </c:txPr>
            <c:dLblPos val="outEnd"/>
            <c:showCatName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57 Vendime Urdhërimi</c:v>
                </c:pt>
                <c:pt idx="1">
                  <c:v>6 Vendime me Sanksion Gjobe</c:v>
                </c:pt>
                <c:pt idx="2">
                  <c:v>3 Vendime Rrëzimi </c:v>
                </c:pt>
              </c:strCache>
            </c:strRef>
          </c:cat>
          <c:val>
            <c:numRef>
              <c:f>Sheet1!$B$2:$B$4</c:f>
              <c:numCache>
                <c:formatCode>General</c:formatCode>
                <c:ptCount val="3"/>
                <c:pt idx="0">
                  <c:v>57</c:v>
                </c:pt>
                <c:pt idx="1">
                  <c:v>6</c:v>
                </c:pt>
                <c:pt idx="2">
                  <c:v>3</c:v>
                </c:pt>
              </c:numCache>
            </c:numRef>
          </c:val>
        </c:ser>
        <c:dLbls>
          <c:showCatName val="1"/>
        </c:dLbls>
      </c:pie3DChart>
      <c:spPr>
        <a:noFill/>
        <a:ln>
          <a:noFill/>
        </a:ln>
        <a:effectLst/>
      </c:spPr>
    </c:plotArea>
    <c:plotVisOnly val="1"/>
    <c:dispBlanksAs val="zero"/>
  </c:chart>
  <c:spPr>
    <a:solidFill>
      <a:schemeClr val="bg1"/>
    </a:solidFill>
    <a:ln w="9525" cap="flat" cmpd="sng" algn="ctr">
      <a:solidFill>
        <a:schemeClr val="bg1"/>
      </a:solidFill>
      <a:round/>
    </a:ln>
    <a:effectLst/>
  </c:spPr>
  <c:txPr>
    <a:bodyPr/>
    <a:lstStyle/>
    <a:p>
      <a:pPr>
        <a:defRPr/>
      </a:pPr>
      <a:endParaRPr lang="sq-AL"/>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sq-AL"/>
  <c:chart>
    <c:autoTitleDeleted val="1"/>
    <c:plotArea>
      <c:layout/>
      <c:barChart>
        <c:barDir val="col"/>
        <c:grouping val="clustered"/>
        <c:ser>
          <c:idx val="0"/>
          <c:order val="0"/>
          <c:tx>
            <c:strRef>
              <c:f>Sheet1!$B$1</c:f>
              <c:strCache>
                <c:ptCount val="1"/>
                <c:pt idx="0">
                  <c:v>Column1</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sq-AL"/>
              </a:p>
            </c:txPr>
            <c:dLblPos val="outEnd"/>
            <c:showVal val="1"/>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Viti 2014</c:v>
                </c:pt>
                <c:pt idx="1">
                  <c:v>Viti 2015</c:v>
                </c:pt>
                <c:pt idx="2">
                  <c:v>Viti 2016</c:v>
                </c:pt>
                <c:pt idx="3">
                  <c:v>Viti 2017</c:v>
                </c:pt>
              </c:strCache>
            </c:strRef>
          </c:cat>
          <c:val>
            <c:numRef>
              <c:f>Sheet1!$B$2:$B$5</c:f>
              <c:numCache>
                <c:formatCode>General</c:formatCode>
                <c:ptCount val="4"/>
                <c:pt idx="0">
                  <c:v>73</c:v>
                </c:pt>
                <c:pt idx="1">
                  <c:v>140</c:v>
                </c:pt>
                <c:pt idx="2">
                  <c:v>150</c:v>
                </c:pt>
                <c:pt idx="3">
                  <c:v>205</c:v>
                </c:pt>
              </c:numCache>
            </c:numRef>
          </c:val>
        </c:ser>
        <c:dLbls>
          <c:showVal val="1"/>
        </c:dLbls>
        <c:gapWidth val="269"/>
        <c:axId val="134400256"/>
        <c:axId val="134590464"/>
      </c:barChart>
      <c:catAx>
        <c:axId val="134400256"/>
        <c:scaling>
          <c:orientation val="minMax"/>
        </c:scaling>
        <c:axPos val="b"/>
        <c:numFmt formatCode="General" sourceLinked="1"/>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sq-AL"/>
          </a:p>
        </c:txPr>
        <c:crossAx val="134590464"/>
        <c:crosses val="autoZero"/>
        <c:auto val="1"/>
        <c:lblAlgn val="ctr"/>
        <c:lblOffset val="100"/>
      </c:catAx>
      <c:valAx>
        <c:axId val="134590464"/>
        <c:scaling>
          <c:orientation val="minMax"/>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tickLblPos val="none"/>
        <c:crossAx val="134400256"/>
        <c:crosses val="autoZero"/>
        <c:crossBetween val="between"/>
      </c:valAx>
      <c:spPr>
        <a:noFill/>
        <a:ln>
          <a:noFill/>
        </a:ln>
        <a:effectLst/>
      </c:spPr>
    </c:plotArea>
    <c:plotVisOnly val="1"/>
    <c:dispBlanksAs val="gap"/>
  </c:chart>
  <c:spPr>
    <a:solidFill>
      <a:schemeClr val="bg1"/>
    </a:solidFill>
    <a:ln w="9525" cap="flat" cmpd="sng" algn="ctr">
      <a:solidFill>
        <a:schemeClr val="bg1"/>
      </a:solidFill>
      <a:round/>
    </a:ln>
    <a:effectLst/>
  </c:spPr>
  <c:txPr>
    <a:bodyPr/>
    <a:lstStyle/>
    <a:p>
      <a:pPr>
        <a:defRPr/>
      </a:pPr>
      <a:endParaRPr lang="sq-AL"/>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sq-AL"/>
  <c:chart>
    <c:title>
      <c:layout>
        <c:manualLayout>
          <c:xMode val="edge"/>
          <c:yMode val="edge"/>
          <c:x val="0.27325488245720031"/>
          <c:y val="4.9354593773728188E-2"/>
        </c:manualLayout>
      </c:layout>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sq-AL"/>
        </a:p>
      </c:txPr>
    </c:title>
    <c:view3D>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9.0593386682772212E-2"/>
          <c:y val="7.927914192958227E-2"/>
          <c:w val="0.86756269312025258"/>
          <c:h val="0.82458669750764857"/>
        </c:manualLayout>
      </c:layout>
      <c:line3DChart>
        <c:grouping val="standard"/>
        <c:ser>
          <c:idx val="0"/>
          <c:order val="0"/>
          <c:tx>
            <c:strRef>
              <c:f>Sheet1!$B$1</c:f>
              <c:strCache>
                <c:ptCount val="1"/>
                <c:pt idx="0">
                  <c:v>Hetime Administrative në vite 2014-2017</c:v>
                </c:pt>
              </c:strCache>
            </c:strRef>
          </c:tx>
          <c:spPr>
            <a:solidFill>
              <a:schemeClr val="accent1"/>
            </a:solidFill>
            <a:ln>
              <a:noFill/>
            </a:ln>
            <a:effectLst/>
            <a:sp3d/>
          </c:spPr>
          <c:dPt>
            <c:idx val="1"/>
            <c:spPr>
              <a:solidFill>
                <a:schemeClr val="bg2">
                  <a:lumMod val="75000"/>
                </a:schemeClr>
              </a:solidFill>
              <a:ln>
                <a:noFill/>
              </a:ln>
              <a:effectLst/>
              <a:sp3d/>
            </c:spPr>
          </c:dPt>
          <c:dPt>
            <c:idx val="2"/>
            <c:spPr>
              <a:solidFill>
                <a:schemeClr val="bg2">
                  <a:lumMod val="75000"/>
                </a:schemeClr>
              </a:solidFill>
              <a:ln>
                <a:solidFill>
                  <a:schemeClr val="bg2">
                    <a:lumMod val="50000"/>
                  </a:schemeClr>
                </a:solidFill>
              </a:ln>
              <a:effectLst/>
              <a:sp3d>
                <a:contourClr>
                  <a:schemeClr val="bg2">
                    <a:lumMod val="50000"/>
                  </a:schemeClr>
                </a:contourClr>
              </a:sp3d>
            </c:spPr>
          </c:dPt>
          <c:dPt>
            <c:idx val="3"/>
            <c:spPr>
              <a:solidFill>
                <a:schemeClr val="bg2">
                  <a:lumMod val="75000"/>
                </a:schemeClr>
              </a:solidFill>
              <a:ln>
                <a:noFill/>
              </a:ln>
              <a:effectLst/>
              <a:sp3d/>
            </c:spPr>
          </c:dPt>
          <c:dLbls>
            <c:dLbl>
              <c:idx val="0"/>
              <c:layout>
                <c:manualLayout>
                  <c:x val="-6.9444444444444475E-3"/>
                  <c:y val="-9.5238095238095247E-2"/>
                </c:manualLayout>
              </c:layout>
              <c:showVal val="1"/>
              <c:extLst>
                <c:ext xmlns:c15="http://schemas.microsoft.com/office/drawing/2012/chart" uri="{CE6537A1-D6FC-4f65-9D91-7224C49458BB}"/>
              </c:extLst>
            </c:dLbl>
            <c:dLbl>
              <c:idx val="1"/>
              <c:layout>
                <c:manualLayout>
                  <c:x val="-4.1636320302909015E-2"/>
                  <c:y val="-9.5474959286805591E-2"/>
                </c:manualLayout>
              </c:layout>
              <c:showVal val="1"/>
              <c:extLst>
                <c:ext xmlns:c15="http://schemas.microsoft.com/office/drawing/2012/chart" uri="{CE6537A1-D6FC-4f65-9D91-7224C49458BB}"/>
              </c:extLst>
            </c:dLbl>
            <c:dLbl>
              <c:idx val="2"/>
              <c:layout>
                <c:manualLayout>
                  <c:x val="-4.1666719130125963E-2"/>
                  <c:y val="-8.7420042643923251E-2"/>
                </c:manualLayout>
              </c:layout>
              <c:showVal val="1"/>
              <c:extLst>
                <c:ext xmlns:c15="http://schemas.microsoft.com/office/drawing/2012/chart" uri="{CE6537A1-D6FC-4f65-9D91-7224C49458BB}"/>
              </c:extLst>
            </c:dLbl>
            <c:dLbl>
              <c:idx val="3"/>
              <c:layout>
                <c:manualLayout>
                  <c:x val="-3.2407488184479701E-2"/>
                  <c:y val="-0.11543491765021915"/>
                </c:manualLayout>
              </c:layout>
              <c:showVal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sq-AL"/>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Viti 2014</c:v>
                </c:pt>
                <c:pt idx="1">
                  <c:v>Viti 2015</c:v>
                </c:pt>
                <c:pt idx="2">
                  <c:v>Viti 2016</c:v>
                </c:pt>
                <c:pt idx="3">
                  <c:v>Viti 2017</c:v>
                </c:pt>
              </c:strCache>
            </c:strRef>
          </c:cat>
          <c:val>
            <c:numRef>
              <c:f>Sheet1!$B$2:$B$5</c:f>
              <c:numCache>
                <c:formatCode>General</c:formatCode>
                <c:ptCount val="4"/>
                <c:pt idx="0">
                  <c:v>157</c:v>
                </c:pt>
                <c:pt idx="1">
                  <c:v>169</c:v>
                </c:pt>
                <c:pt idx="2">
                  <c:v>179</c:v>
                </c:pt>
                <c:pt idx="3">
                  <c:v>184</c:v>
                </c:pt>
              </c:numCache>
            </c:numRef>
          </c:val>
        </c:ser>
        <c:dLbls>
          <c:showVal val="1"/>
        </c:dLbls>
        <c:axId val="134537984"/>
        <c:axId val="134539520"/>
        <c:axId val="134268224"/>
      </c:line3DChart>
      <c:catAx>
        <c:axId val="13453798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sq-AL"/>
          </a:p>
        </c:txPr>
        <c:crossAx val="134539520"/>
        <c:crosses val="autoZero"/>
        <c:auto val="1"/>
        <c:lblAlgn val="ctr"/>
        <c:lblOffset val="100"/>
      </c:catAx>
      <c:valAx>
        <c:axId val="134539520"/>
        <c:scaling>
          <c:orientation val="minMax"/>
        </c:scaling>
        <c:delete val="1"/>
        <c:axPos val="l"/>
        <c:majorGridlines>
          <c:spPr>
            <a:ln w="9525" cap="flat" cmpd="sng" algn="ctr">
              <a:solidFill>
                <a:schemeClr val="bg1">
                  <a:lumMod val="65000"/>
                </a:schemeClr>
              </a:solidFill>
              <a:round/>
            </a:ln>
            <a:effectLst/>
          </c:spPr>
        </c:majorGridlines>
        <c:numFmt formatCode="General" sourceLinked="1"/>
        <c:majorTickMark val="none"/>
        <c:tickLblPos val="none"/>
        <c:crossAx val="134537984"/>
        <c:crosses val="autoZero"/>
        <c:crossBetween val="between"/>
      </c:valAx>
      <c:serAx>
        <c:axId val="134268224"/>
        <c:scaling>
          <c:orientation val="minMax"/>
        </c:scaling>
        <c:delete val="1"/>
        <c:axPos val="b"/>
        <c:tickLblPos val="none"/>
        <c:crossAx val="134539520"/>
        <c:crosses val="autoZero"/>
      </c:serAx>
      <c:spPr>
        <a:noFill/>
        <a:ln>
          <a:noFill/>
        </a:ln>
        <a:effectLst/>
      </c:spPr>
    </c:plotArea>
    <c:plotVisOnly val="1"/>
    <c:dispBlanksAs val="gap"/>
  </c:chart>
  <c:spPr>
    <a:solidFill>
      <a:schemeClr val="bg1"/>
    </a:solidFill>
    <a:ln w="9525" cap="flat" cmpd="sng" algn="ctr">
      <a:solidFill>
        <a:schemeClr val="bg1"/>
      </a:solidFill>
      <a:round/>
    </a:ln>
    <a:effectLst/>
  </c:spPr>
  <c:txPr>
    <a:bodyPr/>
    <a:lstStyle/>
    <a:p>
      <a:pPr>
        <a:defRPr/>
      </a:pPr>
      <a:endParaRPr lang="sq-AL"/>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sq-AL"/>
  <c:chart>
    <c:autoTitleDeleted val="1"/>
    <c:plotArea>
      <c:layout/>
      <c:barChart>
        <c:barDir val="col"/>
        <c:grouping val="stacked"/>
        <c:ser>
          <c:idx val="0"/>
          <c:order val="0"/>
          <c:tx>
            <c:strRef>
              <c:f>Sheet1!$B$1</c:f>
              <c:strCache>
                <c:ptCount val="1"/>
                <c:pt idx="0">
                  <c:v>Hetime në terren</c:v>
                </c:pt>
              </c:strCache>
            </c:strRef>
          </c:tx>
          <c:spPr>
            <a:solidFill>
              <a:schemeClr val="accent1"/>
            </a:solidFill>
            <a:ln>
              <a:noFill/>
            </a:ln>
            <a:effectLst/>
          </c:spPr>
          <c:dLbls>
            <c:dLbl>
              <c:idx val="0"/>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q-AL"/>
                </a:p>
              </c:txPr>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q-AL"/>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184 Hetime Administrative për vitin 2017</c:v>
                </c:pt>
              </c:strCache>
            </c:strRef>
          </c:cat>
          <c:val>
            <c:numRef>
              <c:f>Sheet1!$B$2</c:f>
              <c:numCache>
                <c:formatCode>General</c:formatCode>
                <c:ptCount val="1"/>
                <c:pt idx="0">
                  <c:v>153</c:v>
                </c:pt>
              </c:numCache>
            </c:numRef>
          </c:val>
        </c:ser>
        <c:ser>
          <c:idx val="1"/>
          <c:order val="1"/>
          <c:tx>
            <c:strRef>
              <c:f>Sheet1!$C$1</c:f>
              <c:strCache>
                <c:ptCount val="1"/>
                <c:pt idx="0">
                  <c:v>Hetime Online</c:v>
                </c:pt>
              </c:strCache>
            </c:strRef>
          </c:tx>
          <c:spPr>
            <a:solidFill>
              <a:srgbClr val="FF5621"/>
            </a:solidFill>
            <a:ln>
              <a:solidFill>
                <a:srgbClr val="FF5621"/>
              </a:solidFill>
            </a:ln>
            <a:effectLst/>
          </c:spPr>
          <c:dLbls>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q-AL"/>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184 Hetime Administrative për vitin 2017</c:v>
                </c:pt>
              </c:strCache>
            </c:strRef>
          </c:cat>
          <c:val>
            <c:numRef>
              <c:f>Sheet1!$C$2</c:f>
              <c:numCache>
                <c:formatCode>General</c:formatCode>
                <c:ptCount val="1"/>
                <c:pt idx="0">
                  <c:v>31</c:v>
                </c:pt>
              </c:numCache>
            </c:numRef>
          </c:val>
        </c:ser>
        <c:dLbls>
          <c:showVal val="1"/>
        </c:dLbls>
        <c:gapWidth val="95"/>
        <c:overlap val="100"/>
        <c:axId val="136481792"/>
        <c:axId val="136483584"/>
      </c:barChart>
      <c:catAx>
        <c:axId val="13648179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q-AL"/>
          </a:p>
        </c:txPr>
        <c:crossAx val="136483584"/>
        <c:crosses val="autoZero"/>
        <c:auto val="1"/>
        <c:lblAlgn val="ctr"/>
        <c:lblOffset val="100"/>
      </c:catAx>
      <c:valAx>
        <c:axId val="136483584"/>
        <c:scaling>
          <c:orientation val="minMax"/>
        </c:scaling>
        <c:delete val="1"/>
        <c:axPos val="l"/>
        <c:numFmt formatCode="General" sourceLinked="1"/>
        <c:majorTickMark val="none"/>
        <c:tickLblPos val="none"/>
        <c:crossAx val="136481792"/>
        <c:crosses val="autoZero"/>
        <c:crossBetween val="between"/>
      </c:valAx>
      <c:spPr>
        <a:noFill/>
        <a:ln>
          <a:noFill/>
        </a:ln>
        <a:effectLst/>
      </c:spPr>
    </c:plotArea>
    <c:legend>
      <c:legendPos val="t"/>
      <c:spPr>
        <a:solidFill>
          <a:schemeClr val="bg1"/>
        </a:solid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q-AL"/>
        </a:p>
      </c:txPr>
    </c:legend>
    <c:plotVisOnly val="1"/>
    <c:dispBlanksAs val="gap"/>
  </c:chart>
  <c:spPr>
    <a:solidFill>
      <a:schemeClr val="bg1"/>
    </a:solidFill>
    <a:ln w="9525" cap="flat" cmpd="sng" algn="ctr">
      <a:solidFill>
        <a:schemeClr val="bg1"/>
      </a:solidFill>
      <a:round/>
    </a:ln>
    <a:effectLst/>
  </c:spPr>
  <c:txPr>
    <a:bodyPr/>
    <a:lstStyle/>
    <a:p>
      <a:pPr>
        <a:defRPr/>
      </a:pPr>
      <a:endParaRPr lang="sq-AL"/>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sq-AL"/>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Sanksione administrative në vitet 2014-2017</a:t>
            </a:r>
          </a:p>
        </c:rich>
      </c:tx>
      <c:layout>
        <c:manualLayout>
          <c:xMode val="edge"/>
          <c:yMode val="edge"/>
          <c:x val="0.21556120589093042"/>
          <c:y val="2.3809523809523812E-2"/>
        </c:manualLayout>
      </c:layout>
      <c:spPr>
        <a:noFill/>
        <a:ln>
          <a:noFill/>
        </a:ln>
        <a:effectLst/>
      </c:spPr>
    </c:title>
    <c:plotArea>
      <c:layout/>
      <c:barChart>
        <c:barDir val="col"/>
        <c:grouping val="clustered"/>
        <c:ser>
          <c:idx val="0"/>
          <c:order val="0"/>
          <c:tx>
            <c:strRef>
              <c:f>Sheet1!$B$1</c:f>
              <c:strCache>
                <c:ptCount val="1"/>
                <c:pt idx="0">
                  <c:v>Sanksione Admnistrative në vite 2014-2017</c:v>
                </c:pt>
              </c:strCache>
            </c:strRef>
          </c:tx>
          <c:spPr>
            <a:solidFill>
              <a:srgbClr val="FF0000"/>
            </a:solidFill>
            <a:ln>
              <a:noFill/>
            </a:ln>
            <a:effectLst/>
          </c:spPr>
          <c:dLbls>
            <c:dLbl>
              <c:idx val="0"/>
              <c:layout>
                <c:manualLayout>
                  <c:x val="4.6296296296296311E-3"/>
                  <c:y val="0"/>
                </c:manualLayout>
              </c:layout>
              <c:tx>
                <c:rich>
                  <a:bodyPr/>
                  <a:lstStyle/>
                  <a:p>
                    <a:fld id="{72483944-D046-45B1-97E5-449FA3AF4CB2}" type="CATEGORYNAME">
                      <a:rPr lang="en-US"/>
                      <a:pPr/>
                      <a:t>[CATEGORY NAME]</a:t>
                    </a:fld>
                    <a:r>
                      <a:rPr lang="en-US" baseline="0"/>
                      <a:t> - </a:t>
                    </a:r>
                    <a:fld id="{713B2540-3258-4DEC-96F6-3239B60117BC}" type="VALUE">
                      <a:rPr lang="en-US" baseline="0"/>
                      <a:pPr/>
                      <a:t>[VALUE]</a:t>
                    </a:fld>
                    <a:endParaRPr lang="en-US" baseline="0"/>
                  </a:p>
                </c:rich>
              </c:tx>
              <c:showVal val="1"/>
              <c:showCatName val="1"/>
              <c:extLst>
                <c:ext xmlns:c15="http://schemas.microsoft.com/office/drawing/2012/chart" uri="{CE6537A1-D6FC-4f65-9D91-7224C49458BB}">
                  <c15:dlblFieldTable/>
                  <c15:showDataLabelsRange val="0"/>
                </c:ext>
              </c:extLst>
            </c:dLbl>
            <c:dLbl>
              <c:idx val="1"/>
              <c:tx>
                <c:rich>
                  <a:bodyPr/>
                  <a:lstStyle/>
                  <a:p>
                    <a:fld id="{054D1566-A157-4681-9BE1-375A65EA9951}" type="CATEGORYNAME">
                      <a:rPr lang="en-US"/>
                      <a:pPr/>
                      <a:t>[CATEGORY NAME]</a:t>
                    </a:fld>
                    <a:r>
                      <a:rPr lang="en-US" baseline="0"/>
                      <a:t> -  </a:t>
                    </a:r>
                    <a:fld id="{625DBD76-3D22-421B-BB16-9C4356A7CD34}" type="VALUE">
                      <a:rPr lang="en-US" baseline="0"/>
                      <a:pPr/>
                      <a:t>[VALUE]</a:t>
                    </a:fld>
                    <a:endParaRPr lang="en-US" baseline="0"/>
                  </a:p>
                </c:rich>
              </c:tx>
              <c:showVal val="1"/>
              <c:showCatName val="1"/>
              <c:extLst>
                <c:ext xmlns:c15="http://schemas.microsoft.com/office/drawing/2012/chart" uri="{CE6537A1-D6FC-4f65-9D91-7224C49458BB}">
                  <c15:dlblFieldTable/>
                  <c15:showDataLabelsRange val="0"/>
                </c:ext>
              </c:extLst>
            </c:dLbl>
            <c:dLbl>
              <c:idx val="2"/>
              <c:tx>
                <c:rich>
                  <a:bodyPr/>
                  <a:lstStyle/>
                  <a:p>
                    <a:fld id="{47C03C15-776E-481F-9685-CD6235B4AC6B}" type="CATEGORYNAME">
                      <a:rPr lang="en-US"/>
                      <a:pPr/>
                      <a:t>[CATEGORY NAME]</a:t>
                    </a:fld>
                    <a:r>
                      <a:rPr lang="en-US" baseline="0"/>
                      <a:t> -  </a:t>
                    </a:r>
                    <a:fld id="{0C9B0F1F-7041-477D-93C6-F5DED0380891}" type="VALUE">
                      <a:rPr lang="en-US" baseline="0"/>
                      <a:pPr/>
                      <a:t>[VALUE]</a:t>
                    </a:fld>
                    <a:endParaRPr lang="en-US" baseline="0"/>
                  </a:p>
                </c:rich>
              </c:tx>
              <c:showVal val="1"/>
              <c:showCatName val="1"/>
              <c:extLst>
                <c:ext xmlns:c15="http://schemas.microsoft.com/office/drawing/2012/chart" uri="{CE6537A1-D6FC-4f65-9D91-7224C49458BB}">
                  <c15:dlblFieldTable/>
                  <c15:showDataLabelsRange val="0"/>
                </c:ext>
              </c:extLst>
            </c:dLbl>
            <c:dLbl>
              <c:idx val="3"/>
              <c:tx>
                <c:rich>
                  <a:bodyPr/>
                  <a:lstStyle/>
                  <a:p>
                    <a:fld id="{F0E12EF0-7BA1-4DAF-8C2F-E44A88F68E45}" type="CATEGORYNAME">
                      <a:rPr lang="en-US"/>
                      <a:pPr/>
                      <a:t>[CATEGORY NAME]</a:t>
                    </a:fld>
                    <a:r>
                      <a:rPr lang="en-US" baseline="0"/>
                      <a:t> - </a:t>
                    </a:r>
                    <a:fld id="{F402D01C-1766-4D3D-A9CF-D74A099FCDE4}" type="VALUE">
                      <a:rPr lang="en-US" baseline="0"/>
                      <a:pPr/>
                      <a:t>[VALUE]</a:t>
                    </a:fld>
                    <a:endParaRPr lang="en-US" baseline="0"/>
                  </a:p>
                </c:rich>
              </c:tx>
              <c:showVal val="1"/>
              <c:showCatName val="1"/>
              <c:extLst>
                <c:ext xmlns:c15="http://schemas.microsoft.com/office/drawing/2012/chart" uri="{CE6537A1-D6FC-4f65-9D91-7224C49458BB}">
                  <c15:dlblFieldTable/>
                  <c15:showDataLabelsRange val="0"/>
                </c:ext>
              </c:extLst>
            </c:dLbl>
            <c:spPr>
              <a:solidFill>
                <a:sysClr val="window" lastClr="FFFFFF"/>
              </a:solidFill>
              <a:ln>
                <a:solidFill>
                  <a:srgbClr val="5899D4"/>
                </a:solidFill>
              </a:ln>
              <a:effectLst/>
            </c:spPr>
            <c:txPr>
              <a:bodyPr rot="0" spcFirstLastPara="1" vertOverflow="clip" horzOverflow="clip"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q-AL"/>
              </a:p>
            </c:txPr>
            <c:showVal val="1"/>
            <c:showCatName val="1"/>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Sheet1!$A$2:$A$5</c:f>
              <c:numCache>
                <c:formatCode>General</c:formatCode>
                <c:ptCount val="4"/>
                <c:pt idx="0">
                  <c:v>2014</c:v>
                </c:pt>
                <c:pt idx="1">
                  <c:v>2015</c:v>
                </c:pt>
                <c:pt idx="2">
                  <c:v>2016</c:v>
                </c:pt>
                <c:pt idx="3">
                  <c:v>2017</c:v>
                </c:pt>
              </c:numCache>
            </c:numRef>
          </c:cat>
          <c:val>
            <c:numRef>
              <c:f>Sheet1!$B$2:$B$5</c:f>
              <c:numCache>
                <c:formatCode>General</c:formatCode>
                <c:ptCount val="4"/>
                <c:pt idx="0">
                  <c:v>19</c:v>
                </c:pt>
                <c:pt idx="1">
                  <c:v>54</c:v>
                </c:pt>
                <c:pt idx="2">
                  <c:v>97</c:v>
                </c:pt>
                <c:pt idx="3">
                  <c:v>36</c:v>
                </c:pt>
              </c:numCache>
            </c:numRef>
          </c:val>
        </c:ser>
        <c:gapWidth val="219"/>
        <c:overlap val="-27"/>
        <c:axId val="134780800"/>
        <c:axId val="134782336"/>
      </c:barChart>
      <c:catAx>
        <c:axId val="134780800"/>
        <c:scaling>
          <c:orientation val="minMax"/>
        </c:scaling>
        <c:delete val="1"/>
        <c:axPos val="b"/>
        <c:numFmt formatCode="General" sourceLinked="1"/>
        <c:majorTickMark val="none"/>
        <c:tickLblPos val="none"/>
        <c:crossAx val="134782336"/>
        <c:crosses val="autoZero"/>
        <c:auto val="1"/>
        <c:lblAlgn val="ctr"/>
        <c:lblOffset val="100"/>
      </c:catAx>
      <c:valAx>
        <c:axId val="13478233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tickLblPos val="none"/>
        <c:crossAx val="134780800"/>
        <c:crosses val="autoZero"/>
        <c:crossBetween val="between"/>
      </c:valAx>
      <c:spPr>
        <a:noFill/>
        <a:ln>
          <a:noFill/>
        </a:ln>
        <a:effectLst/>
      </c:spPr>
    </c:plotArea>
    <c:plotVisOnly val="1"/>
    <c:dispBlanksAs val="gap"/>
  </c:chart>
  <c:spPr>
    <a:solidFill>
      <a:schemeClr val="bg1"/>
    </a:solidFill>
    <a:ln w="9525" cap="flat" cmpd="sng" algn="ctr">
      <a:solidFill>
        <a:schemeClr val="bg1"/>
      </a:solidFill>
      <a:round/>
    </a:ln>
    <a:effectLst/>
  </c:spPr>
  <c:txPr>
    <a:bodyPr/>
    <a:lstStyle/>
    <a:p>
      <a:pPr>
        <a:defRPr/>
      </a:pPr>
      <a:endParaRPr lang="sq-AL"/>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sq-AL"/>
  <c:chart>
    <c:title>
      <c:tx>
        <c:rich>
          <a:bodyPr rot="0" spcFirstLastPara="1" vertOverflow="ellipsis" vert="horz" wrap="square" anchor="ctr" anchorCtr="1"/>
          <a:lstStyle/>
          <a:p>
            <a:pPr>
              <a:defRPr sz="1100" b="1" i="0" u="none" strike="noStrike" kern="1200" cap="all" spc="150" baseline="0">
                <a:solidFill>
                  <a:srgbClr val="FF0000"/>
                </a:solidFill>
                <a:latin typeface="Times New Roman" panose="02020603050405020304" pitchFamily="18" charset="0"/>
                <a:ea typeface="+mn-ea"/>
                <a:cs typeface="Times New Roman" panose="02020603050405020304" pitchFamily="18" charset="0"/>
              </a:defRPr>
            </a:pPr>
            <a:r>
              <a:rPr lang="en-US" sz="1100">
                <a:solidFill>
                  <a:srgbClr val="FF0000"/>
                </a:solidFill>
                <a:latin typeface="Times New Roman" panose="02020603050405020304" pitchFamily="18" charset="0"/>
                <a:cs typeface="Times New Roman" panose="02020603050405020304" pitchFamily="18" charset="0"/>
              </a:rPr>
              <a:t>Transferim ndërkombëtar i të dhënave</a:t>
            </a:r>
          </a:p>
          <a:p>
            <a:pPr>
              <a:defRPr sz="1100" b="1" i="0" u="none" strike="noStrike" kern="1200" cap="all" spc="150" baseline="0">
                <a:solidFill>
                  <a:srgbClr val="FF0000"/>
                </a:solidFill>
                <a:latin typeface="Times New Roman" panose="02020603050405020304" pitchFamily="18" charset="0"/>
                <a:ea typeface="+mn-ea"/>
                <a:cs typeface="Times New Roman" panose="02020603050405020304" pitchFamily="18" charset="0"/>
              </a:defRPr>
            </a:pPr>
            <a:r>
              <a:rPr lang="en-US" sz="1100">
                <a:solidFill>
                  <a:srgbClr val="FF0000"/>
                </a:solidFill>
                <a:latin typeface="Times New Roman" panose="02020603050405020304" pitchFamily="18" charset="0"/>
                <a:cs typeface="Times New Roman" panose="02020603050405020304" pitchFamily="18" charset="0"/>
              </a:rPr>
              <a:t>Në</a:t>
            </a:r>
            <a:r>
              <a:rPr lang="en-US" sz="1100" baseline="0">
                <a:solidFill>
                  <a:srgbClr val="FF0000"/>
                </a:solidFill>
                <a:latin typeface="Times New Roman" panose="02020603050405020304" pitchFamily="18" charset="0"/>
                <a:cs typeface="Times New Roman" panose="02020603050405020304" pitchFamily="18" charset="0"/>
              </a:rPr>
              <a:t> vite 2014-2017</a:t>
            </a:r>
            <a:endParaRPr lang="en-US" sz="1100">
              <a:solidFill>
                <a:srgbClr val="FF0000"/>
              </a:solidFill>
              <a:latin typeface="Times New Roman" panose="02020603050405020304" pitchFamily="18" charset="0"/>
              <a:cs typeface="Times New Roman" panose="02020603050405020304" pitchFamily="18" charset="0"/>
            </a:endParaRPr>
          </a:p>
        </c:rich>
      </c:tx>
      <c:layout>
        <c:manualLayout>
          <c:xMode val="edge"/>
          <c:yMode val="edge"/>
          <c:x val="0.14645833333333352"/>
          <c:y val="2.7777777777777821E-2"/>
        </c:manualLayout>
      </c:layout>
      <c:spPr>
        <a:noFill/>
        <a:ln>
          <a:noFill/>
        </a:ln>
        <a:effectLst/>
      </c:spPr>
    </c:title>
    <c:plotArea>
      <c:layout>
        <c:manualLayout>
          <c:layoutTarget val="inner"/>
          <c:xMode val="edge"/>
          <c:yMode val="edge"/>
          <c:x val="2.5462962962962979E-2"/>
          <c:y val="0.30670634920634932"/>
          <c:w val="0.94907407407407485"/>
          <c:h val="0.6694841269841274"/>
        </c:manualLayout>
      </c:layout>
      <c:bubbleChart>
        <c:ser>
          <c:idx val="0"/>
          <c:order val="0"/>
          <c:tx>
            <c:strRef>
              <c:f>Sheet1!$B$1</c:f>
              <c:strCache>
                <c:ptCount val="1"/>
                <c:pt idx="0">
                  <c:v>Transferim Ndërkombëtar i të dhënave</c:v>
                </c:pt>
              </c:strCache>
            </c:strRef>
          </c:tx>
          <c:spPr>
            <a:solidFill>
              <a:srgbClr val="5899D4"/>
            </a:solidFill>
            <a:ln w="9525" cap="flat" cmpd="sng" algn="ctr">
              <a:solidFill>
                <a:schemeClr val="accent1">
                  <a:alpha val="75000"/>
                </a:schemeClr>
              </a:solidFill>
            </a:ln>
            <a:effectLst>
              <a:innerShdw blurRad="114300">
                <a:schemeClr val="accent1">
                  <a:alpha val="70000"/>
                </a:schemeClr>
              </a:innerShdw>
            </a:effectLst>
          </c:spPr>
          <c:dLbls>
            <c:dLbl>
              <c:idx val="0"/>
              <c:layout>
                <c:manualLayout>
                  <c:x val="-8.5570683872849246E-2"/>
                  <c:y val="-0.3651449818772658"/>
                </c:manualLayout>
              </c:layout>
              <c:dLblPos val="r"/>
              <c:showVal val="1"/>
              <c:extLst>
                <c:ext xmlns:c15="http://schemas.microsoft.com/office/drawing/2012/chart" uri="{CE6537A1-D6FC-4f65-9D91-7224C49458BB}"/>
              </c:extLst>
            </c:dLbl>
            <c:dLbl>
              <c:idx val="1"/>
              <c:layout>
                <c:manualLayout>
                  <c:x val="-8.7885498687664113E-2"/>
                  <c:y val="-0.31355768028996422"/>
                </c:manualLayout>
              </c:layout>
              <c:dLblPos val="r"/>
              <c:showVal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q-AL"/>
              </a:p>
            </c:txPr>
            <c:dLblPos val="t"/>
            <c:showVal val="1"/>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errBars>
            <c:errDir val="x"/>
            <c:errBarType val="both"/>
            <c:errValType val="stdDev"/>
            <c:val val="1"/>
            <c:spPr>
              <a:noFill/>
              <a:ln w="9525">
                <a:solidFill>
                  <a:schemeClr val="tx1">
                    <a:lumMod val="50000"/>
                    <a:lumOff val="50000"/>
                  </a:schemeClr>
                </a:solidFill>
                <a:round/>
              </a:ln>
              <a:effectLst/>
            </c:spPr>
          </c:errBars>
          <c:errBars>
            <c:errDir val="y"/>
            <c:errBarType val="both"/>
            <c:errValType val="stdDev"/>
            <c:val val="1"/>
            <c:spPr>
              <a:noFill/>
              <a:ln w="9525">
                <a:solidFill>
                  <a:schemeClr val="tx1">
                    <a:lumMod val="50000"/>
                    <a:lumOff val="50000"/>
                  </a:schemeClr>
                </a:solidFill>
                <a:round/>
              </a:ln>
              <a:effectLst/>
            </c:spPr>
          </c:errBars>
          <c:xVal>
            <c:numRef>
              <c:f>Sheet1!$A$2:$A$5</c:f>
              <c:numCache>
                <c:formatCode>General</c:formatCode>
                <c:ptCount val="4"/>
                <c:pt idx="0">
                  <c:v>2014</c:v>
                </c:pt>
                <c:pt idx="1">
                  <c:v>2015</c:v>
                </c:pt>
                <c:pt idx="2">
                  <c:v>2016</c:v>
                </c:pt>
                <c:pt idx="3">
                  <c:v>2017</c:v>
                </c:pt>
              </c:numCache>
            </c:numRef>
          </c:xVal>
          <c:yVal>
            <c:numRef>
              <c:f>Sheet1!$B$2:$B$5</c:f>
              <c:numCache>
                <c:formatCode>General</c:formatCode>
                <c:ptCount val="4"/>
                <c:pt idx="0">
                  <c:v>6</c:v>
                </c:pt>
                <c:pt idx="1">
                  <c:v>8</c:v>
                </c:pt>
                <c:pt idx="2">
                  <c:v>13</c:v>
                </c:pt>
                <c:pt idx="3">
                  <c:v>12</c:v>
                </c:pt>
              </c:numCache>
            </c:numRef>
          </c:yVal>
          <c:bubbleSize>
            <c:numLit>
              <c:formatCode>General</c:formatCode>
              <c:ptCount val="4"/>
              <c:pt idx="0">
                <c:v>1</c:v>
              </c:pt>
              <c:pt idx="1">
                <c:v>1</c:v>
              </c:pt>
              <c:pt idx="2">
                <c:v>1</c:v>
              </c:pt>
              <c:pt idx="3">
                <c:v>1</c:v>
              </c:pt>
            </c:numLit>
          </c:bubbleSize>
        </c:ser>
        <c:bubbleScale val="100"/>
        <c:axId val="138223616"/>
        <c:axId val="138225152"/>
      </c:bubbleChart>
      <c:valAx>
        <c:axId val="138223616"/>
        <c:scaling>
          <c:orientation val="minMax"/>
        </c:scaling>
        <c:delete val="1"/>
        <c:axPos val="b"/>
        <c:numFmt formatCode="General" sourceLinked="1"/>
        <c:majorTickMark val="none"/>
        <c:tickLblPos val="none"/>
        <c:crossAx val="138225152"/>
        <c:crosses val="autoZero"/>
        <c:crossBetween val="midCat"/>
      </c:valAx>
      <c:valAx>
        <c:axId val="138225152"/>
        <c:scaling>
          <c:orientation val="minMax"/>
        </c:scaling>
        <c:delete val="1"/>
        <c:axPos val="l"/>
        <c:numFmt formatCode="General" sourceLinked="1"/>
        <c:majorTickMark val="none"/>
        <c:tickLblPos val="none"/>
        <c:crossAx val="138223616"/>
        <c:crosses val="autoZero"/>
        <c:crossBetween val="midCat"/>
      </c:valAx>
      <c:spPr>
        <a:noFill/>
        <a:ln>
          <a:noFill/>
        </a:ln>
        <a:effectLst/>
      </c:spPr>
    </c:plotArea>
    <c:plotVisOnly val="1"/>
    <c:dispBlanksAs val="gap"/>
  </c:chart>
  <c:spPr>
    <a:solidFill>
      <a:schemeClr val="bg1"/>
    </a:solidFill>
    <a:ln w="9525" cap="flat" cmpd="sng" algn="ctr">
      <a:solidFill>
        <a:schemeClr val="bg1"/>
      </a:solidFill>
      <a:round/>
    </a:ln>
    <a:effectLst/>
  </c:spPr>
  <c:txPr>
    <a:bodyPr/>
    <a:lstStyle/>
    <a:p>
      <a:pPr>
        <a:defRPr/>
      </a:pPr>
      <a:endParaRPr lang="sq-AL"/>
    </a:p>
  </c:txPr>
  <c:externalData r:id="rId1"/>
</c:chartSpace>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3">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5552338-AF9A-4136-8388-40D546AAE1AD}" type="doc">
      <dgm:prSet loTypeId="urn:microsoft.com/office/officeart/2005/8/layout/gear1" loCatId="process" qsTypeId="urn:microsoft.com/office/officeart/2005/8/quickstyle/simple1" qsCatId="simple" csTypeId="urn:microsoft.com/office/officeart/2005/8/colors/colorful1#1" csCatId="colorful" phldr="1"/>
      <dgm:spPr/>
    </dgm:pt>
    <dgm:pt modelId="{1344D60F-3D4C-4998-83FE-F327AFE26D46}">
      <dgm:prSet phldrT="[Text]" custT="1"/>
      <dgm:spPr/>
      <dgm:t>
        <a:bodyPr/>
        <a:lstStyle/>
        <a:p>
          <a:pPr algn="ctr"/>
          <a:r>
            <a:rPr lang="sq-AL" sz="1100" b="1">
              <a:solidFill>
                <a:schemeClr val="tx1"/>
              </a:solidFill>
              <a:latin typeface="Times New Roman" panose="02020603050405020304" pitchFamily="18" charset="0"/>
              <a:cs typeface="Times New Roman" panose="02020603050405020304" pitchFamily="18" charset="0"/>
            </a:rPr>
            <a:t>227</a:t>
          </a:r>
          <a:r>
            <a:rPr lang="sq-AL" sz="1100">
              <a:solidFill>
                <a:schemeClr val="tx1"/>
              </a:solidFill>
              <a:latin typeface="Times New Roman" panose="02020603050405020304" pitchFamily="18" charset="0"/>
              <a:cs typeface="Times New Roman" panose="02020603050405020304" pitchFamily="18" charset="0"/>
            </a:rPr>
            <a:t> </a:t>
          </a:r>
          <a:r>
            <a:rPr lang="en-US" sz="1000">
              <a:solidFill>
                <a:schemeClr val="tx1"/>
              </a:solidFill>
              <a:latin typeface="Times New Roman" panose="02020603050405020304" pitchFamily="18" charset="0"/>
              <a:cs typeface="Times New Roman" panose="02020603050405020304" pitchFamily="18" charset="0"/>
            </a:rPr>
            <a:t>A.P. </a:t>
          </a:r>
          <a:r>
            <a:rPr lang="sq-AL" sz="1000">
              <a:solidFill>
                <a:schemeClr val="tx1"/>
              </a:solidFill>
              <a:latin typeface="Times New Roman" panose="02020603050405020304" pitchFamily="18" charset="0"/>
              <a:cs typeface="Times New Roman" panose="02020603050405020304" pitchFamily="18" charset="0"/>
            </a:rPr>
            <a:t>kanë caktuar Koordinator për të drejtën e informimit</a:t>
          </a:r>
        </a:p>
      </dgm:t>
    </dgm:pt>
    <dgm:pt modelId="{8FF890DC-24CD-4A51-A301-D33E9C4C4BAC}" type="parTrans" cxnId="{0CE344FB-E446-4484-BE15-8B73EAD6892E}">
      <dgm:prSet/>
      <dgm:spPr/>
      <dgm:t>
        <a:bodyPr/>
        <a:lstStyle/>
        <a:p>
          <a:pPr algn="ctr"/>
          <a:endParaRPr lang="sq-AL"/>
        </a:p>
      </dgm:t>
    </dgm:pt>
    <dgm:pt modelId="{E90298A3-6B26-45C9-BF1C-EDC51115DBB2}" type="sibTrans" cxnId="{0CE344FB-E446-4484-BE15-8B73EAD6892E}">
      <dgm:prSet/>
      <dgm:spPr/>
      <dgm:t>
        <a:bodyPr/>
        <a:lstStyle/>
        <a:p>
          <a:pPr algn="ctr"/>
          <a:endParaRPr lang="sq-AL"/>
        </a:p>
      </dgm:t>
    </dgm:pt>
    <dgm:pt modelId="{4AF58FB6-95C0-47C0-960A-3CC8D1D9D808}">
      <dgm:prSet phldrT="[Text]" custT="1"/>
      <dgm:spPr/>
      <dgm:t>
        <a:bodyPr/>
        <a:lstStyle/>
        <a:p>
          <a:pPr algn="ctr"/>
          <a:r>
            <a:rPr lang="sq-AL" sz="1000" b="1">
              <a:solidFill>
                <a:schemeClr val="tx1"/>
              </a:solidFill>
              <a:latin typeface="Times New Roman" panose="02020603050405020304" pitchFamily="18" charset="0"/>
              <a:cs typeface="Times New Roman" panose="02020603050405020304" pitchFamily="18" charset="0"/>
            </a:rPr>
            <a:t>181 </a:t>
          </a:r>
          <a:r>
            <a:rPr lang="en-US" sz="1000">
              <a:solidFill>
                <a:schemeClr val="tx1"/>
              </a:solidFill>
              <a:latin typeface="Times New Roman" panose="02020603050405020304" pitchFamily="18" charset="0"/>
              <a:cs typeface="Times New Roman" panose="02020603050405020304" pitchFamily="18" charset="0"/>
            </a:rPr>
            <a:t>A.P. </a:t>
          </a:r>
          <a:r>
            <a:rPr lang="sq-AL" sz="1000">
              <a:solidFill>
                <a:schemeClr val="tx1"/>
              </a:solidFill>
              <a:latin typeface="Times New Roman" panose="02020603050405020304" pitchFamily="18" charset="0"/>
              <a:cs typeface="Times New Roman" panose="02020603050405020304" pitchFamily="18" charset="0"/>
            </a:rPr>
            <a:t>kanë miratuar </a:t>
          </a:r>
          <a:r>
            <a:rPr lang="en-US" sz="1000">
              <a:solidFill>
                <a:schemeClr val="tx1"/>
              </a:solidFill>
              <a:latin typeface="Times New Roman" panose="02020603050405020304" pitchFamily="18" charset="0"/>
              <a:cs typeface="Times New Roman" panose="02020603050405020304" pitchFamily="18" charset="0"/>
            </a:rPr>
            <a:t>e publikuar P</a:t>
          </a:r>
          <a:r>
            <a:rPr lang="sq-AL" sz="1000">
              <a:solidFill>
                <a:schemeClr val="tx1"/>
              </a:solidFill>
              <a:latin typeface="Times New Roman" panose="02020603050405020304" pitchFamily="18" charset="0"/>
              <a:cs typeface="Times New Roman" panose="02020603050405020304" pitchFamily="18" charset="0"/>
            </a:rPr>
            <a:t>rogramin e </a:t>
          </a:r>
          <a:r>
            <a:rPr lang="en-US" sz="1000">
              <a:solidFill>
                <a:schemeClr val="tx1"/>
              </a:solidFill>
              <a:latin typeface="Times New Roman" panose="02020603050405020304" pitchFamily="18" charset="0"/>
              <a:cs typeface="Times New Roman" panose="02020603050405020304" pitchFamily="18" charset="0"/>
            </a:rPr>
            <a:t>T</a:t>
          </a:r>
          <a:r>
            <a:rPr lang="sq-AL" sz="1000">
              <a:solidFill>
                <a:schemeClr val="tx1"/>
              </a:solidFill>
              <a:latin typeface="Times New Roman" panose="02020603050405020304" pitchFamily="18" charset="0"/>
              <a:cs typeface="Times New Roman" panose="02020603050405020304" pitchFamily="18" charset="0"/>
            </a:rPr>
            <a:t>ransparencës</a:t>
          </a:r>
        </a:p>
      </dgm:t>
    </dgm:pt>
    <dgm:pt modelId="{8270F532-26CC-472C-AAAC-B5877AD5A370}" type="parTrans" cxnId="{A7104B6D-5D19-4F71-94F7-596CA23F5D79}">
      <dgm:prSet/>
      <dgm:spPr/>
      <dgm:t>
        <a:bodyPr/>
        <a:lstStyle/>
        <a:p>
          <a:pPr algn="ctr"/>
          <a:endParaRPr lang="sq-AL"/>
        </a:p>
      </dgm:t>
    </dgm:pt>
    <dgm:pt modelId="{3C685B0D-F4EB-4285-AF07-0CA804A1C707}" type="sibTrans" cxnId="{A7104B6D-5D19-4F71-94F7-596CA23F5D79}">
      <dgm:prSet/>
      <dgm:spPr/>
      <dgm:t>
        <a:bodyPr/>
        <a:lstStyle/>
        <a:p>
          <a:pPr algn="ctr"/>
          <a:endParaRPr lang="sq-AL"/>
        </a:p>
      </dgm:t>
    </dgm:pt>
    <dgm:pt modelId="{332DC683-BABF-4019-BD6D-27692F1DC6E8}">
      <dgm:prSet phldrT="[Text]" custT="1"/>
      <dgm:spPr/>
      <dgm:t>
        <a:bodyPr/>
        <a:lstStyle/>
        <a:p>
          <a:pPr algn="ctr"/>
          <a:r>
            <a:rPr lang="sq-AL" sz="1000" b="1">
              <a:solidFill>
                <a:schemeClr val="tx1"/>
              </a:solidFill>
              <a:latin typeface="Times New Roman" panose="02020603050405020304" pitchFamily="18" charset="0"/>
              <a:cs typeface="Times New Roman" panose="02020603050405020304" pitchFamily="18" charset="0"/>
            </a:rPr>
            <a:t>124 </a:t>
          </a:r>
          <a:r>
            <a:rPr lang="en-US" sz="1000">
              <a:solidFill>
                <a:schemeClr val="tx1"/>
              </a:solidFill>
              <a:latin typeface="Times New Roman" panose="02020603050405020304" pitchFamily="18" charset="0"/>
              <a:cs typeface="Times New Roman" panose="02020603050405020304" pitchFamily="18" charset="0"/>
            </a:rPr>
            <a:t> A.P. </a:t>
          </a:r>
          <a:r>
            <a:rPr lang="sq-AL" sz="1000">
              <a:solidFill>
                <a:schemeClr val="tx1"/>
              </a:solidFill>
              <a:latin typeface="Times New Roman" panose="02020603050405020304" pitchFamily="18" charset="0"/>
              <a:cs typeface="Times New Roman" panose="02020603050405020304" pitchFamily="18" charset="0"/>
            </a:rPr>
            <a:t>kanë publikuar </a:t>
          </a:r>
          <a:r>
            <a:rPr lang="en-US" sz="1000">
              <a:solidFill>
                <a:schemeClr val="tx1"/>
              </a:solidFill>
              <a:latin typeface="Times New Roman" panose="02020603050405020304" pitchFamily="18" charset="0"/>
              <a:cs typeface="Times New Roman" panose="02020603050405020304" pitchFamily="18" charset="0"/>
            </a:rPr>
            <a:t>R</a:t>
          </a:r>
          <a:r>
            <a:rPr lang="sq-AL" sz="1000">
              <a:solidFill>
                <a:schemeClr val="tx1"/>
              </a:solidFill>
              <a:latin typeface="Times New Roman" panose="02020603050405020304" pitchFamily="18" charset="0"/>
              <a:cs typeface="Times New Roman" panose="02020603050405020304" pitchFamily="18" charset="0"/>
            </a:rPr>
            <a:t>egjistrin e </a:t>
          </a:r>
          <a:r>
            <a:rPr lang="en-US" sz="1000">
              <a:solidFill>
                <a:schemeClr val="tx1"/>
              </a:solidFill>
              <a:latin typeface="Times New Roman" panose="02020603050405020304" pitchFamily="18" charset="0"/>
              <a:cs typeface="Times New Roman" panose="02020603050405020304" pitchFamily="18" charset="0"/>
            </a:rPr>
            <a:t>K</a:t>
          </a:r>
          <a:r>
            <a:rPr lang="sq-AL" sz="1000">
              <a:solidFill>
                <a:schemeClr val="tx1"/>
              </a:solidFill>
              <a:latin typeface="Times New Roman" panose="02020603050405020304" pitchFamily="18" charset="0"/>
              <a:cs typeface="Times New Roman" panose="02020603050405020304" pitchFamily="18" charset="0"/>
            </a:rPr>
            <a:t>ërkesa</a:t>
          </a:r>
          <a:r>
            <a:rPr lang="en-US" sz="1000">
              <a:solidFill>
                <a:schemeClr val="tx1"/>
              </a:solidFill>
              <a:latin typeface="Times New Roman" panose="02020603050405020304" pitchFamily="18" charset="0"/>
              <a:cs typeface="Times New Roman" panose="02020603050405020304" pitchFamily="18" charset="0"/>
            </a:rPr>
            <a:t>ve- P</a:t>
          </a:r>
          <a:r>
            <a:rPr lang="sq-AL" sz="1000">
              <a:solidFill>
                <a:schemeClr val="tx1"/>
              </a:solidFill>
              <a:latin typeface="Times New Roman" panose="02020603050405020304" pitchFamily="18" charset="0"/>
              <a:cs typeface="Times New Roman" panose="02020603050405020304" pitchFamily="18" charset="0"/>
            </a:rPr>
            <a:t>ërgjigjeve</a:t>
          </a:r>
          <a:r>
            <a:rPr lang="sq-AL" sz="1000" b="1">
              <a:solidFill>
                <a:schemeClr val="tx1"/>
              </a:solidFill>
              <a:latin typeface="Times New Roman" panose="02020603050405020304" pitchFamily="18" charset="0"/>
              <a:cs typeface="Times New Roman" panose="02020603050405020304" pitchFamily="18" charset="0"/>
            </a:rPr>
            <a:t> </a:t>
          </a:r>
          <a:endParaRPr lang="sq-AL" sz="1000">
            <a:solidFill>
              <a:schemeClr val="tx1"/>
            </a:solidFill>
            <a:latin typeface="Times New Roman" panose="02020603050405020304" pitchFamily="18" charset="0"/>
            <a:cs typeface="Times New Roman" panose="02020603050405020304" pitchFamily="18" charset="0"/>
          </a:endParaRPr>
        </a:p>
      </dgm:t>
    </dgm:pt>
    <dgm:pt modelId="{5C3D2F1A-B484-437E-931E-0FE8CC59E033}" type="parTrans" cxnId="{71835A69-E8DA-4FDB-A577-C0AB05185069}">
      <dgm:prSet/>
      <dgm:spPr/>
      <dgm:t>
        <a:bodyPr/>
        <a:lstStyle/>
        <a:p>
          <a:pPr algn="ctr"/>
          <a:endParaRPr lang="sq-AL"/>
        </a:p>
      </dgm:t>
    </dgm:pt>
    <dgm:pt modelId="{E8E8B0B8-64F0-4560-9B16-BD0D81454634}" type="sibTrans" cxnId="{71835A69-E8DA-4FDB-A577-C0AB05185069}">
      <dgm:prSet/>
      <dgm:spPr/>
      <dgm:t>
        <a:bodyPr/>
        <a:lstStyle/>
        <a:p>
          <a:pPr algn="ctr"/>
          <a:endParaRPr lang="sq-AL"/>
        </a:p>
      </dgm:t>
    </dgm:pt>
    <dgm:pt modelId="{7AAB9B80-850E-4EE9-BDDB-679E9407D69B}" type="pres">
      <dgm:prSet presAssocID="{F5552338-AF9A-4136-8388-40D546AAE1AD}" presName="composite" presStyleCnt="0">
        <dgm:presLayoutVars>
          <dgm:chMax val="3"/>
          <dgm:animLvl val="lvl"/>
          <dgm:resizeHandles val="exact"/>
        </dgm:presLayoutVars>
      </dgm:prSet>
      <dgm:spPr/>
    </dgm:pt>
    <dgm:pt modelId="{2A2F65E2-B09B-44FD-BAD9-F88FE32689A9}" type="pres">
      <dgm:prSet presAssocID="{1344D60F-3D4C-4998-83FE-F327AFE26D46}" presName="gear1" presStyleLbl="node1" presStyleIdx="0" presStyleCnt="3" custScaleX="92770" custScaleY="86720">
        <dgm:presLayoutVars>
          <dgm:chMax val="1"/>
          <dgm:bulletEnabled val="1"/>
        </dgm:presLayoutVars>
      </dgm:prSet>
      <dgm:spPr/>
      <dgm:t>
        <a:bodyPr/>
        <a:lstStyle/>
        <a:p>
          <a:endParaRPr lang="sq-AL"/>
        </a:p>
      </dgm:t>
    </dgm:pt>
    <dgm:pt modelId="{FC519B65-961C-4BCA-BCA8-313040660766}" type="pres">
      <dgm:prSet presAssocID="{1344D60F-3D4C-4998-83FE-F327AFE26D46}" presName="gear1srcNode" presStyleLbl="node1" presStyleIdx="0" presStyleCnt="3"/>
      <dgm:spPr/>
      <dgm:t>
        <a:bodyPr/>
        <a:lstStyle/>
        <a:p>
          <a:endParaRPr lang="sq-AL"/>
        </a:p>
      </dgm:t>
    </dgm:pt>
    <dgm:pt modelId="{D22C0A47-3F34-4E83-85F3-6AD09FECAF20}" type="pres">
      <dgm:prSet presAssocID="{1344D60F-3D4C-4998-83FE-F327AFE26D46}" presName="gear1dstNode" presStyleLbl="node1" presStyleIdx="0" presStyleCnt="3"/>
      <dgm:spPr/>
      <dgm:t>
        <a:bodyPr/>
        <a:lstStyle/>
        <a:p>
          <a:endParaRPr lang="sq-AL"/>
        </a:p>
      </dgm:t>
    </dgm:pt>
    <dgm:pt modelId="{842BCCDE-71D5-4315-A510-9D0CFB46F9FC}" type="pres">
      <dgm:prSet presAssocID="{4AF58FB6-95C0-47C0-960A-3CC8D1D9D808}" presName="gear2" presStyleLbl="node1" presStyleIdx="1" presStyleCnt="3" custScaleX="112994" custScaleY="113516" custLinFactNeighborX="-8270" custLinFactNeighborY="-3711">
        <dgm:presLayoutVars>
          <dgm:chMax val="1"/>
          <dgm:bulletEnabled val="1"/>
        </dgm:presLayoutVars>
      </dgm:prSet>
      <dgm:spPr/>
      <dgm:t>
        <a:bodyPr/>
        <a:lstStyle/>
        <a:p>
          <a:endParaRPr lang="sq-AL"/>
        </a:p>
      </dgm:t>
    </dgm:pt>
    <dgm:pt modelId="{3EB340BF-69B1-4A88-A373-17D35C107241}" type="pres">
      <dgm:prSet presAssocID="{4AF58FB6-95C0-47C0-960A-3CC8D1D9D808}" presName="gear2srcNode" presStyleLbl="node1" presStyleIdx="1" presStyleCnt="3"/>
      <dgm:spPr/>
      <dgm:t>
        <a:bodyPr/>
        <a:lstStyle/>
        <a:p>
          <a:endParaRPr lang="sq-AL"/>
        </a:p>
      </dgm:t>
    </dgm:pt>
    <dgm:pt modelId="{4F0981C6-CEBC-43B1-A575-8D282D4828C7}" type="pres">
      <dgm:prSet presAssocID="{4AF58FB6-95C0-47C0-960A-3CC8D1D9D808}" presName="gear2dstNode" presStyleLbl="node1" presStyleIdx="1" presStyleCnt="3"/>
      <dgm:spPr/>
      <dgm:t>
        <a:bodyPr/>
        <a:lstStyle/>
        <a:p>
          <a:endParaRPr lang="sq-AL"/>
        </a:p>
      </dgm:t>
    </dgm:pt>
    <dgm:pt modelId="{A4CF3A05-8A56-4B07-BDEC-640A62402147}" type="pres">
      <dgm:prSet presAssocID="{332DC683-BABF-4019-BD6D-27692F1DC6E8}" presName="gear3" presStyleLbl="node1" presStyleIdx="2" presStyleCnt="3" custScaleX="109369" custScaleY="106304" custLinFactNeighborX="1816" custLinFactNeighborY="-2228"/>
      <dgm:spPr/>
      <dgm:t>
        <a:bodyPr/>
        <a:lstStyle/>
        <a:p>
          <a:endParaRPr lang="sq-AL"/>
        </a:p>
      </dgm:t>
    </dgm:pt>
    <dgm:pt modelId="{CBDC97D0-617A-4A5D-A962-D15CD5F294D1}" type="pres">
      <dgm:prSet presAssocID="{332DC683-BABF-4019-BD6D-27692F1DC6E8}" presName="gear3tx" presStyleLbl="node1" presStyleIdx="2" presStyleCnt="3">
        <dgm:presLayoutVars>
          <dgm:chMax val="1"/>
          <dgm:bulletEnabled val="1"/>
        </dgm:presLayoutVars>
      </dgm:prSet>
      <dgm:spPr/>
      <dgm:t>
        <a:bodyPr/>
        <a:lstStyle/>
        <a:p>
          <a:endParaRPr lang="sq-AL"/>
        </a:p>
      </dgm:t>
    </dgm:pt>
    <dgm:pt modelId="{15B31109-6FF2-47EB-A778-9C62E2E3A918}" type="pres">
      <dgm:prSet presAssocID="{332DC683-BABF-4019-BD6D-27692F1DC6E8}" presName="gear3srcNode" presStyleLbl="node1" presStyleIdx="2" presStyleCnt="3"/>
      <dgm:spPr/>
      <dgm:t>
        <a:bodyPr/>
        <a:lstStyle/>
        <a:p>
          <a:endParaRPr lang="sq-AL"/>
        </a:p>
      </dgm:t>
    </dgm:pt>
    <dgm:pt modelId="{C4A9E8F2-40AE-4C5F-9BB2-D84ACB7D2E7E}" type="pres">
      <dgm:prSet presAssocID="{332DC683-BABF-4019-BD6D-27692F1DC6E8}" presName="gear3dstNode" presStyleLbl="node1" presStyleIdx="2" presStyleCnt="3"/>
      <dgm:spPr/>
      <dgm:t>
        <a:bodyPr/>
        <a:lstStyle/>
        <a:p>
          <a:endParaRPr lang="sq-AL"/>
        </a:p>
      </dgm:t>
    </dgm:pt>
    <dgm:pt modelId="{CC7A6A8F-BD11-4184-AE55-869A10743F43}" type="pres">
      <dgm:prSet presAssocID="{E90298A3-6B26-45C9-BF1C-EDC51115DBB2}" presName="connector1" presStyleLbl="sibTrans2D1" presStyleIdx="0" presStyleCnt="3" custLinFactNeighborX="-7420" custLinFactNeighborY="1310"/>
      <dgm:spPr/>
      <dgm:t>
        <a:bodyPr/>
        <a:lstStyle/>
        <a:p>
          <a:endParaRPr lang="sq-AL"/>
        </a:p>
      </dgm:t>
    </dgm:pt>
    <dgm:pt modelId="{2A7DB296-49CF-4F2B-81D7-7294B8F569D4}" type="pres">
      <dgm:prSet presAssocID="{3C685B0D-F4EB-4285-AF07-0CA804A1C707}" presName="connector2" presStyleLbl="sibTrans2D1" presStyleIdx="1" presStyleCnt="3" custAng="20802339" custLinFactNeighborX="-12831" custLinFactNeighborY="-14054"/>
      <dgm:spPr/>
      <dgm:t>
        <a:bodyPr/>
        <a:lstStyle/>
        <a:p>
          <a:endParaRPr lang="sq-AL"/>
        </a:p>
      </dgm:t>
    </dgm:pt>
    <dgm:pt modelId="{86CAC6ED-55FE-494A-B682-27CB627CAE1D}" type="pres">
      <dgm:prSet presAssocID="{E8E8B0B8-64F0-4560-9B16-BD0D81454634}" presName="connector3" presStyleLbl="sibTrans2D1" presStyleIdx="2" presStyleCnt="3" custAng="209310" custScaleX="118758" custScaleY="106991" custLinFactNeighborX="7367" custLinFactNeighborY="-2834"/>
      <dgm:spPr/>
      <dgm:t>
        <a:bodyPr/>
        <a:lstStyle/>
        <a:p>
          <a:endParaRPr lang="sq-AL"/>
        </a:p>
      </dgm:t>
    </dgm:pt>
  </dgm:ptLst>
  <dgm:cxnLst>
    <dgm:cxn modelId="{0CE344FB-E446-4484-BE15-8B73EAD6892E}" srcId="{F5552338-AF9A-4136-8388-40D546AAE1AD}" destId="{1344D60F-3D4C-4998-83FE-F327AFE26D46}" srcOrd="0" destOrd="0" parTransId="{8FF890DC-24CD-4A51-A301-D33E9C4C4BAC}" sibTransId="{E90298A3-6B26-45C9-BF1C-EDC51115DBB2}"/>
    <dgm:cxn modelId="{71835A69-E8DA-4FDB-A577-C0AB05185069}" srcId="{F5552338-AF9A-4136-8388-40D546AAE1AD}" destId="{332DC683-BABF-4019-BD6D-27692F1DC6E8}" srcOrd="2" destOrd="0" parTransId="{5C3D2F1A-B484-437E-931E-0FE8CC59E033}" sibTransId="{E8E8B0B8-64F0-4560-9B16-BD0D81454634}"/>
    <dgm:cxn modelId="{B86EB362-29E1-46CC-A2BE-86ABEC745034}" type="presOf" srcId="{1344D60F-3D4C-4998-83FE-F327AFE26D46}" destId="{FC519B65-961C-4BCA-BCA8-313040660766}" srcOrd="1" destOrd="0" presId="urn:microsoft.com/office/officeart/2005/8/layout/gear1"/>
    <dgm:cxn modelId="{A7104B6D-5D19-4F71-94F7-596CA23F5D79}" srcId="{F5552338-AF9A-4136-8388-40D546AAE1AD}" destId="{4AF58FB6-95C0-47C0-960A-3CC8D1D9D808}" srcOrd="1" destOrd="0" parTransId="{8270F532-26CC-472C-AAAC-B5877AD5A370}" sibTransId="{3C685B0D-F4EB-4285-AF07-0CA804A1C707}"/>
    <dgm:cxn modelId="{3ED58EC6-EFC7-4EFB-B7C6-1F54F61586E0}" type="presOf" srcId="{3C685B0D-F4EB-4285-AF07-0CA804A1C707}" destId="{2A7DB296-49CF-4F2B-81D7-7294B8F569D4}" srcOrd="0" destOrd="0" presId="urn:microsoft.com/office/officeart/2005/8/layout/gear1"/>
    <dgm:cxn modelId="{754FC8AA-0B0C-4AC4-AA11-045A78092D6A}" type="presOf" srcId="{1344D60F-3D4C-4998-83FE-F327AFE26D46}" destId="{2A2F65E2-B09B-44FD-BAD9-F88FE32689A9}" srcOrd="0" destOrd="0" presId="urn:microsoft.com/office/officeart/2005/8/layout/gear1"/>
    <dgm:cxn modelId="{957CF954-52AC-418F-94BD-825153BF8A80}" type="presOf" srcId="{332DC683-BABF-4019-BD6D-27692F1DC6E8}" destId="{CBDC97D0-617A-4A5D-A962-D15CD5F294D1}" srcOrd="1" destOrd="0" presId="urn:microsoft.com/office/officeart/2005/8/layout/gear1"/>
    <dgm:cxn modelId="{BDEBF0CE-B2AF-47A1-BA6E-7A256D18F2A0}" type="presOf" srcId="{E8E8B0B8-64F0-4560-9B16-BD0D81454634}" destId="{86CAC6ED-55FE-494A-B682-27CB627CAE1D}" srcOrd="0" destOrd="0" presId="urn:microsoft.com/office/officeart/2005/8/layout/gear1"/>
    <dgm:cxn modelId="{ACEEABD5-3EA7-4CE6-8D22-00D76FA1E649}" type="presOf" srcId="{332DC683-BABF-4019-BD6D-27692F1DC6E8}" destId="{C4A9E8F2-40AE-4C5F-9BB2-D84ACB7D2E7E}" srcOrd="3" destOrd="0" presId="urn:microsoft.com/office/officeart/2005/8/layout/gear1"/>
    <dgm:cxn modelId="{0E413D97-88FF-4E24-9E3B-FECDA52690A2}" type="presOf" srcId="{1344D60F-3D4C-4998-83FE-F327AFE26D46}" destId="{D22C0A47-3F34-4E83-85F3-6AD09FECAF20}" srcOrd="2" destOrd="0" presId="urn:microsoft.com/office/officeart/2005/8/layout/gear1"/>
    <dgm:cxn modelId="{1C222196-7074-4869-BCA7-66AB28A6CFED}" type="presOf" srcId="{F5552338-AF9A-4136-8388-40D546AAE1AD}" destId="{7AAB9B80-850E-4EE9-BDDB-679E9407D69B}" srcOrd="0" destOrd="0" presId="urn:microsoft.com/office/officeart/2005/8/layout/gear1"/>
    <dgm:cxn modelId="{442B2DD6-8399-410B-81D4-BB41899A87C7}" type="presOf" srcId="{4AF58FB6-95C0-47C0-960A-3CC8D1D9D808}" destId="{3EB340BF-69B1-4A88-A373-17D35C107241}" srcOrd="1" destOrd="0" presId="urn:microsoft.com/office/officeart/2005/8/layout/gear1"/>
    <dgm:cxn modelId="{40E74071-3127-4C33-B970-0A4076071660}" type="presOf" srcId="{4AF58FB6-95C0-47C0-960A-3CC8D1D9D808}" destId="{4F0981C6-CEBC-43B1-A575-8D282D4828C7}" srcOrd="2" destOrd="0" presId="urn:microsoft.com/office/officeart/2005/8/layout/gear1"/>
    <dgm:cxn modelId="{41E0E8E2-3E89-49EA-8A50-7DB3E541A05E}" type="presOf" srcId="{4AF58FB6-95C0-47C0-960A-3CC8D1D9D808}" destId="{842BCCDE-71D5-4315-A510-9D0CFB46F9FC}" srcOrd="0" destOrd="0" presId="urn:microsoft.com/office/officeart/2005/8/layout/gear1"/>
    <dgm:cxn modelId="{AD16DC52-AE64-4CAD-B5D8-3D58A8E3F597}" type="presOf" srcId="{E90298A3-6B26-45C9-BF1C-EDC51115DBB2}" destId="{CC7A6A8F-BD11-4184-AE55-869A10743F43}" srcOrd="0" destOrd="0" presId="urn:microsoft.com/office/officeart/2005/8/layout/gear1"/>
    <dgm:cxn modelId="{D7767A3A-2065-436D-8B0F-44FFB444B968}" type="presOf" srcId="{332DC683-BABF-4019-BD6D-27692F1DC6E8}" destId="{15B31109-6FF2-47EB-A778-9C62E2E3A918}" srcOrd="2" destOrd="0" presId="urn:microsoft.com/office/officeart/2005/8/layout/gear1"/>
    <dgm:cxn modelId="{59F400FB-555D-400F-84FC-D2D30AB808EF}" type="presOf" srcId="{332DC683-BABF-4019-BD6D-27692F1DC6E8}" destId="{A4CF3A05-8A56-4B07-BDEC-640A62402147}" srcOrd="0" destOrd="0" presId="urn:microsoft.com/office/officeart/2005/8/layout/gear1"/>
    <dgm:cxn modelId="{6CF874F0-B3B8-4339-A85E-338ADC02FB83}" type="presParOf" srcId="{7AAB9B80-850E-4EE9-BDDB-679E9407D69B}" destId="{2A2F65E2-B09B-44FD-BAD9-F88FE32689A9}" srcOrd="0" destOrd="0" presId="urn:microsoft.com/office/officeart/2005/8/layout/gear1"/>
    <dgm:cxn modelId="{28F649D8-936B-4CB4-ABE9-1594E6772C2F}" type="presParOf" srcId="{7AAB9B80-850E-4EE9-BDDB-679E9407D69B}" destId="{FC519B65-961C-4BCA-BCA8-313040660766}" srcOrd="1" destOrd="0" presId="urn:microsoft.com/office/officeart/2005/8/layout/gear1"/>
    <dgm:cxn modelId="{86D5FA1B-2778-4CB1-B21D-AC2A343D1F18}" type="presParOf" srcId="{7AAB9B80-850E-4EE9-BDDB-679E9407D69B}" destId="{D22C0A47-3F34-4E83-85F3-6AD09FECAF20}" srcOrd="2" destOrd="0" presId="urn:microsoft.com/office/officeart/2005/8/layout/gear1"/>
    <dgm:cxn modelId="{41A9C6DB-FCD7-4A81-ACED-017EA1A884E9}" type="presParOf" srcId="{7AAB9B80-850E-4EE9-BDDB-679E9407D69B}" destId="{842BCCDE-71D5-4315-A510-9D0CFB46F9FC}" srcOrd="3" destOrd="0" presId="urn:microsoft.com/office/officeart/2005/8/layout/gear1"/>
    <dgm:cxn modelId="{71BDE171-5CEE-44E3-ADC5-1D61DF5AE8E4}" type="presParOf" srcId="{7AAB9B80-850E-4EE9-BDDB-679E9407D69B}" destId="{3EB340BF-69B1-4A88-A373-17D35C107241}" srcOrd="4" destOrd="0" presId="urn:microsoft.com/office/officeart/2005/8/layout/gear1"/>
    <dgm:cxn modelId="{91700FC9-8E4A-4CB0-B1F5-AF62F2DE1695}" type="presParOf" srcId="{7AAB9B80-850E-4EE9-BDDB-679E9407D69B}" destId="{4F0981C6-CEBC-43B1-A575-8D282D4828C7}" srcOrd="5" destOrd="0" presId="urn:microsoft.com/office/officeart/2005/8/layout/gear1"/>
    <dgm:cxn modelId="{B1493A91-EF75-4279-BB66-4425465FB765}" type="presParOf" srcId="{7AAB9B80-850E-4EE9-BDDB-679E9407D69B}" destId="{A4CF3A05-8A56-4B07-BDEC-640A62402147}" srcOrd="6" destOrd="0" presId="urn:microsoft.com/office/officeart/2005/8/layout/gear1"/>
    <dgm:cxn modelId="{0745E063-E971-42C6-9114-64816CAAFA26}" type="presParOf" srcId="{7AAB9B80-850E-4EE9-BDDB-679E9407D69B}" destId="{CBDC97D0-617A-4A5D-A962-D15CD5F294D1}" srcOrd="7" destOrd="0" presId="urn:microsoft.com/office/officeart/2005/8/layout/gear1"/>
    <dgm:cxn modelId="{A6296A40-38F6-4EA6-99D4-B3130D2ED484}" type="presParOf" srcId="{7AAB9B80-850E-4EE9-BDDB-679E9407D69B}" destId="{15B31109-6FF2-47EB-A778-9C62E2E3A918}" srcOrd="8" destOrd="0" presId="urn:microsoft.com/office/officeart/2005/8/layout/gear1"/>
    <dgm:cxn modelId="{F4F28C65-813C-41C4-92B9-F1FAB594360B}" type="presParOf" srcId="{7AAB9B80-850E-4EE9-BDDB-679E9407D69B}" destId="{C4A9E8F2-40AE-4C5F-9BB2-D84ACB7D2E7E}" srcOrd="9" destOrd="0" presId="urn:microsoft.com/office/officeart/2005/8/layout/gear1"/>
    <dgm:cxn modelId="{E126F13E-8A5C-4BAF-84AB-1575E66619C6}" type="presParOf" srcId="{7AAB9B80-850E-4EE9-BDDB-679E9407D69B}" destId="{CC7A6A8F-BD11-4184-AE55-869A10743F43}" srcOrd="10" destOrd="0" presId="urn:microsoft.com/office/officeart/2005/8/layout/gear1"/>
    <dgm:cxn modelId="{AE131CAD-BDAA-44B7-A763-007126F59ED7}" type="presParOf" srcId="{7AAB9B80-850E-4EE9-BDDB-679E9407D69B}" destId="{2A7DB296-49CF-4F2B-81D7-7294B8F569D4}" srcOrd="11" destOrd="0" presId="urn:microsoft.com/office/officeart/2005/8/layout/gear1"/>
    <dgm:cxn modelId="{FB7BFCAD-B79E-4F37-AF91-1352A301706F}" type="presParOf" srcId="{7AAB9B80-850E-4EE9-BDDB-679E9407D69B}" destId="{86CAC6ED-55FE-494A-B682-27CB627CAE1D}" srcOrd="12" destOrd="0" presId="urn:microsoft.com/office/officeart/2005/8/layout/gear1"/>
  </dgm:cxnLst>
  <dgm:bg/>
  <dgm:whole/>
  <dgm:extLst>
    <a:ext uri="http://schemas.microsoft.com/office/drawing/2008/diagram">
      <dsp:dataModelExt xmlns:dsp="http://schemas.microsoft.com/office/drawing/2008/diagram" xmlns="" relId="rId4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E11022A-0D7A-4CFF-9948-B7ED85D8E51D}" type="doc">
      <dgm:prSet loTypeId="urn:microsoft.com/office/officeart/2009/layout/CircleArrowProcess" loCatId="cycle" qsTypeId="urn:microsoft.com/office/officeart/2005/8/quickstyle/simple1" qsCatId="simple" csTypeId="urn:microsoft.com/office/officeart/2005/8/colors/colorful1#2" csCatId="colorful" phldr="1"/>
      <dgm:spPr/>
      <dgm:t>
        <a:bodyPr/>
        <a:lstStyle/>
        <a:p>
          <a:endParaRPr lang="sq-AL"/>
        </a:p>
      </dgm:t>
    </dgm:pt>
    <dgm:pt modelId="{E17955E4-2CDC-4FEE-90B9-5FFD94A60D68}">
      <dgm:prSet phldrT="[Text]" custT="1"/>
      <dgm:spPr/>
      <dgm:t>
        <a:bodyPr/>
        <a:lstStyle/>
        <a:p>
          <a:r>
            <a:rPr lang="sq-AL" sz="1400" b="1">
              <a:latin typeface="Times New Roman" panose="02020603050405020304" pitchFamily="18" charset="0"/>
              <a:cs typeface="Times New Roman" panose="02020603050405020304" pitchFamily="18" charset="0"/>
            </a:rPr>
            <a:t>153 </a:t>
          </a:r>
          <a:r>
            <a:rPr lang="en-US" sz="1400">
              <a:latin typeface="Times New Roman" panose="02020603050405020304" pitchFamily="18" charset="0"/>
              <a:cs typeface="Times New Roman" panose="02020603050405020304" pitchFamily="18" charset="0"/>
            </a:rPr>
            <a:t>I</a:t>
          </a:r>
          <a:r>
            <a:rPr lang="sq-AL" sz="1400">
              <a:latin typeface="Times New Roman" panose="02020603050405020304" pitchFamily="18" charset="0"/>
              <a:cs typeface="Times New Roman" panose="02020603050405020304" pitchFamily="18" charset="0"/>
            </a:rPr>
            <a:t>nspektime në terren </a:t>
          </a:r>
        </a:p>
      </dgm:t>
    </dgm:pt>
    <dgm:pt modelId="{DAA5344C-65B4-4CD1-9845-0271C1E9EADA}" type="parTrans" cxnId="{C6257D01-F020-4770-B1DD-CB8F2E52C85F}">
      <dgm:prSet/>
      <dgm:spPr/>
      <dgm:t>
        <a:bodyPr/>
        <a:lstStyle/>
        <a:p>
          <a:endParaRPr lang="sq-AL"/>
        </a:p>
      </dgm:t>
    </dgm:pt>
    <dgm:pt modelId="{3B66706F-347A-46A1-A382-88FDC0197C19}" type="sibTrans" cxnId="{C6257D01-F020-4770-B1DD-CB8F2E52C85F}">
      <dgm:prSet/>
      <dgm:spPr/>
      <dgm:t>
        <a:bodyPr/>
        <a:lstStyle/>
        <a:p>
          <a:endParaRPr lang="sq-AL"/>
        </a:p>
      </dgm:t>
    </dgm:pt>
    <dgm:pt modelId="{AFCC5312-9953-43B2-8A42-E074563C0FA1}">
      <dgm:prSet phldrT="[Text]" custT="1"/>
      <dgm:spPr/>
      <dgm:t>
        <a:bodyPr/>
        <a:lstStyle/>
        <a:p>
          <a:r>
            <a:rPr lang="en-US" sz="1200" b="1">
              <a:latin typeface="Times New Roman" panose="02020603050405020304" pitchFamily="18" charset="0"/>
              <a:cs typeface="Times New Roman" panose="02020603050405020304" pitchFamily="18" charset="0"/>
            </a:rPr>
            <a:t>52</a:t>
          </a:r>
          <a:r>
            <a:rPr lang="en-US" sz="1200">
              <a:latin typeface="Times New Roman" panose="02020603050405020304" pitchFamily="18" charset="0"/>
              <a:cs typeface="Times New Roman" panose="02020603050405020304" pitchFamily="18" charset="0"/>
            </a:rPr>
            <a:t> në Kontrollues Publik</a:t>
          </a:r>
          <a:endParaRPr lang="sq-AL" sz="1200">
            <a:latin typeface="Times New Roman" panose="02020603050405020304" pitchFamily="18" charset="0"/>
            <a:cs typeface="Times New Roman" panose="02020603050405020304" pitchFamily="18" charset="0"/>
          </a:endParaRPr>
        </a:p>
      </dgm:t>
    </dgm:pt>
    <dgm:pt modelId="{50A515FF-3FE0-4DDA-A9F3-BED0F8556613}" type="parTrans" cxnId="{402EFCE5-5555-4FDE-86E0-86636C632DB8}">
      <dgm:prSet/>
      <dgm:spPr/>
      <dgm:t>
        <a:bodyPr/>
        <a:lstStyle/>
        <a:p>
          <a:endParaRPr lang="sq-AL"/>
        </a:p>
      </dgm:t>
    </dgm:pt>
    <dgm:pt modelId="{04149580-76AE-4BBC-BB96-46375362D5F4}" type="sibTrans" cxnId="{402EFCE5-5555-4FDE-86E0-86636C632DB8}">
      <dgm:prSet/>
      <dgm:spPr/>
      <dgm:t>
        <a:bodyPr/>
        <a:lstStyle/>
        <a:p>
          <a:endParaRPr lang="sq-AL"/>
        </a:p>
      </dgm:t>
    </dgm:pt>
    <dgm:pt modelId="{71C2D2FF-865B-4363-9006-9117ABDA1FF5}">
      <dgm:prSet phldrT="[Text]" custT="1"/>
      <dgm:spPr/>
      <dgm:t>
        <a:bodyPr/>
        <a:lstStyle/>
        <a:p>
          <a:r>
            <a:rPr lang="en-US" sz="1200" b="1">
              <a:latin typeface="Times New Roman" panose="02020603050405020304" pitchFamily="18" charset="0"/>
              <a:cs typeface="Times New Roman" panose="02020603050405020304" pitchFamily="18" charset="0"/>
            </a:rPr>
            <a:t>101</a:t>
          </a:r>
          <a:r>
            <a:rPr lang="en-US" sz="1200">
              <a:latin typeface="Times New Roman" panose="02020603050405020304" pitchFamily="18" charset="0"/>
              <a:cs typeface="Times New Roman" panose="02020603050405020304" pitchFamily="18" charset="0"/>
            </a:rPr>
            <a:t> në Kontrollues Privat</a:t>
          </a:r>
          <a:endParaRPr lang="sq-AL" sz="1200">
            <a:latin typeface="Times New Roman" panose="02020603050405020304" pitchFamily="18" charset="0"/>
            <a:cs typeface="Times New Roman" panose="02020603050405020304" pitchFamily="18" charset="0"/>
          </a:endParaRPr>
        </a:p>
      </dgm:t>
    </dgm:pt>
    <dgm:pt modelId="{6C8BC2B3-A3B7-4984-9F60-A130A58EC232}" type="parTrans" cxnId="{0DB44081-DC04-498A-A939-C8C1E61021D6}">
      <dgm:prSet/>
      <dgm:spPr/>
      <dgm:t>
        <a:bodyPr/>
        <a:lstStyle/>
        <a:p>
          <a:endParaRPr lang="sq-AL"/>
        </a:p>
      </dgm:t>
    </dgm:pt>
    <dgm:pt modelId="{E0C6D84D-4115-4E68-9C70-0355A63D4D3D}" type="sibTrans" cxnId="{0DB44081-DC04-498A-A939-C8C1E61021D6}">
      <dgm:prSet/>
      <dgm:spPr/>
      <dgm:t>
        <a:bodyPr/>
        <a:lstStyle/>
        <a:p>
          <a:endParaRPr lang="sq-AL"/>
        </a:p>
      </dgm:t>
    </dgm:pt>
    <dgm:pt modelId="{D267B7F5-6682-47C3-A1CC-21FA0428D601}" type="pres">
      <dgm:prSet presAssocID="{7E11022A-0D7A-4CFF-9948-B7ED85D8E51D}" presName="Name0" presStyleCnt="0">
        <dgm:presLayoutVars>
          <dgm:chMax val="7"/>
          <dgm:chPref val="7"/>
          <dgm:dir/>
          <dgm:animLvl val="lvl"/>
        </dgm:presLayoutVars>
      </dgm:prSet>
      <dgm:spPr/>
      <dgm:t>
        <a:bodyPr/>
        <a:lstStyle/>
        <a:p>
          <a:endParaRPr lang="sq-AL"/>
        </a:p>
      </dgm:t>
    </dgm:pt>
    <dgm:pt modelId="{EF3B1115-AE4A-4C49-946D-82D1D5F198E7}" type="pres">
      <dgm:prSet presAssocID="{E17955E4-2CDC-4FEE-90B9-5FFD94A60D68}" presName="Accent1" presStyleCnt="0"/>
      <dgm:spPr/>
    </dgm:pt>
    <dgm:pt modelId="{70500AC8-D618-4A36-B058-440CD574556E}" type="pres">
      <dgm:prSet presAssocID="{E17955E4-2CDC-4FEE-90B9-5FFD94A60D68}" presName="Accent" presStyleLbl="node1" presStyleIdx="0" presStyleCnt="3"/>
      <dgm:spPr>
        <a:solidFill>
          <a:srgbClr val="5899D4"/>
        </a:solidFill>
        <a:ln>
          <a:solidFill>
            <a:srgbClr val="5899D4"/>
          </a:solidFill>
        </a:ln>
      </dgm:spPr>
    </dgm:pt>
    <dgm:pt modelId="{3F37AC4E-F21B-49BE-B772-D9579E0477A2}" type="pres">
      <dgm:prSet presAssocID="{E17955E4-2CDC-4FEE-90B9-5FFD94A60D68}" presName="Parent1" presStyleLbl="revTx" presStyleIdx="0" presStyleCnt="3">
        <dgm:presLayoutVars>
          <dgm:chMax val="1"/>
          <dgm:chPref val="1"/>
          <dgm:bulletEnabled val="1"/>
        </dgm:presLayoutVars>
      </dgm:prSet>
      <dgm:spPr/>
      <dgm:t>
        <a:bodyPr/>
        <a:lstStyle/>
        <a:p>
          <a:endParaRPr lang="sq-AL"/>
        </a:p>
      </dgm:t>
    </dgm:pt>
    <dgm:pt modelId="{289ADFD1-8405-4ACF-856A-43F181DE6E8D}" type="pres">
      <dgm:prSet presAssocID="{AFCC5312-9953-43B2-8A42-E074563C0FA1}" presName="Accent2" presStyleCnt="0"/>
      <dgm:spPr/>
    </dgm:pt>
    <dgm:pt modelId="{20973AC1-28C6-4989-8039-15D7022AE5B1}" type="pres">
      <dgm:prSet presAssocID="{AFCC5312-9953-43B2-8A42-E074563C0FA1}" presName="Accent" presStyleLbl="node1" presStyleIdx="1" presStyleCnt="3"/>
      <dgm:spPr/>
    </dgm:pt>
    <dgm:pt modelId="{B4F85C4D-FAED-42C3-83DD-49F5B7058F6D}" type="pres">
      <dgm:prSet presAssocID="{AFCC5312-9953-43B2-8A42-E074563C0FA1}" presName="Parent2" presStyleLbl="revTx" presStyleIdx="1" presStyleCnt="3">
        <dgm:presLayoutVars>
          <dgm:chMax val="1"/>
          <dgm:chPref val="1"/>
          <dgm:bulletEnabled val="1"/>
        </dgm:presLayoutVars>
      </dgm:prSet>
      <dgm:spPr/>
      <dgm:t>
        <a:bodyPr/>
        <a:lstStyle/>
        <a:p>
          <a:endParaRPr lang="sq-AL"/>
        </a:p>
      </dgm:t>
    </dgm:pt>
    <dgm:pt modelId="{C379C324-F343-4718-AFD2-3EC3D351A09E}" type="pres">
      <dgm:prSet presAssocID="{71C2D2FF-865B-4363-9006-9117ABDA1FF5}" presName="Accent3" presStyleCnt="0"/>
      <dgm:spPr/>
    </dgm:pt>
    <dgm:pt modelId="{B34E416B-120C-4A3B-8EF6-81BED5F4B85D}" type="pres">
      <dgm:prSet presAssocID="{71C2D2FF-865B-4363-9006-9117ABDA1FF5}" presName="Accent" presStyleLbl="node1" presStyleIdx="2" presStyleCnt="3"/>
      <dgm:spPr/>
    </dgm:pt>
    <dgm:pt modelId="{60A59C0C-B90C-47EC-B214-F1967D6C3F98}" type="pres">
      <dgm:prSet presAssocID="{71C2D2FF-865B-4363-9006-9117ABDA1FF5}" presName="Parent3" presStyleLbl="revTx" presStyleIdx="2" presStyleCnt="3">
        <dgm:presLayoutVars>
          <dgm:chMax val="1"/>
          <dgm:chPref val="1"/>
          <dgm:bulletEnabled val="1"/>
        </dgm:presLayoutVars>
      </dgm:prSet>
      <dgm:spPr/>
      <dgm:t>
        <a:bodyPr/>
        <a:lstStyle/>
        <a:p>
          <a:endParaRPr lang="sq-AL"/>
        </a:p>
      </dgm:t>
    </dgm:pt>
  </dgm:ptLst>
  <dgm:cxnLst>
    <dgm:cxn modelId="{44239968-2FDB-419D-A5EE-B85C63D81F25}" type="presOf" srcId="{E17955E4-2CDC-4FEE-90B9-5FFD94A60D68}" destId="{3F37AC4E-F21B-49BE-B772-D9579E0477A2}" srcOrd="0" destOrd="0" presId="urn:microsoft.com/office/officeart/2009/layout/CircleArrowProcess"/>
    <dgm:cxn modelId="{174FF3AC-64A2-44F7-9E1B-AE0B0DE10D32}" type="presOf" srcId="{7E11022A-0D7A-4CFF-9948-B7ED85D8E51D}" destId="{D267B7F5-6682-47C3-A1CC-21FA0428D601}" srcOrd="0" destOrd="0" presId="urn:microsoft.com/office/officeart/2009/layout/CircleArrowProcess"/>
    <dgm:cxn modelId="{C6257D01-F020-4770-B1DD-CB8F2E52C85F}" srcId="{7E11022A-0D7A-4CFF-9948-B7ED85D8E51D}" destId="{E17955E4-2CDC-4FEE-90B9-5FFD94A60D68}" srcOrd="0" destOrd="0" parTransId="{DAA5344C-65B4-4CD1-9845-0271C1E9EADA}" sibTransId="{3B66706F-347A-46A1-A382-88FDC0197C19}"/>
    <dgm:cxn modelId="{E1537B10-FFE8-41C5-AEC0-C80E29E86A7F}" type="presOf" srcId="{71C2D2FF-865B-4363-9006-9117ABDA1FF5}" destId="{60A59C0C-B90C-47EC-B214-F1967D6C3F98}" srcOrd="0" destOrd="0" presId="urn:microsoft.com/office/officeart/2009/layout/CircleArrowProcess"/>
    <dgm:cxn modelId="{0DB44081-DC04-498A-A939-C8C1E61021D6}" srcId="{7E11022A-0D7A-4CFF-9948-B7ED85D8E51D}" destId="{71C2D2FF-865B-4363-9006-9117ABDA1FF5}" srcOrd="2" destOrd="0" parTransId="{6C8BC2B3-A3B7-4984-9F60-A130A58EC232}" sibTransId="{E0C6D84D-4115-4E68-9C70-0355A63D4D3D}"/>
    <dgm:cxn modelId="{AA7AE539-3739-4031-9036-730F2D3EAD4B}" type="presOf" srcId="{AFCC5312-9953-43B2-8A42-E074563C0FA1}" destId="{B4F85C4D-FAED-42C3-83DD-49F5B7058F6D}" srcOrd="0" destOrd="0" presId="urn:microsoft.com/office/officeart/2009/layout/CircleArrowProcess"/>
    <dgm:cxn modelId="{402EFCE5-5555-4FDE-86E0-86636C632DB8}" srcId="{7E11022A-0D7A-4CFF-9948-B7ED85D8E51D}" destId="{AFCC5312-9953-43B2-8A42-E074563C0FA1}" srcOrd="1" destOrd="0" parTransId="{50A515FF-3FE0-4DDA-A9F3-BED0F8556613}" sibTransId="{04149580-76AE-4BBC-BB96-46375362D5F4}"/>
    <dgm:cxn modelId="{2BF91ED3-FF8B-4800-A801-EB6D2692859B}" type="presParOf" srcId="{D267B7F5-6682-47C3-A1CC-21FA0428D601}" destId="{EF3B1115-AE4A-4C49-946D-82D1D5F198E7}" srcOrd="0" destOrd="0" presId="urn:microsoft.com/office/officeart/2009/layout/CircleArrowProcess"/>
    <dgm:cxn modelId="{6E53B489-7F83-4D9F-89EF-1256423DF7DF}" type="presParOf" srcId="{EF3B1115-AE4A-4C49-946D-82D1D5F198E7}" destId="{70500AC8-D618-4A36-B058-440CD574556E}" srcOrd="0" destOrd="0" presId="urn:microsoft.com/office/officeart/2009/layout/CircleArrowProcess"/>
    <dgm:cxn modelId="{B60A7FFC-DF83-47C4-9372-7556BF686B51}" type="presParOf" srcId="{D267B7F5-6682-47C3-A1CC-21FA0428D601}" destId="{3F37AC4E-F21B-49BE-B772-D9579E0477A2}" srcOrd="1" destOrd="0" presId="urn:microsoft.com/office/officeart/2009/layout/CircleArrowProcess"/>
    <dgm:cxn modelId="{25875F83-9549-4BFB-ADB7-793655540FBD}" type="presParOf" srcId="{D267B7F5-6682-47C3-A1CC-21FA0428D601}" destId="{289ADFD1-8405-4ACF-856A-43F181DE6E8D}" srcOrd="2" destOrd="0" presId="urn:microsoft.com/office/officeart/2009/layout/CircleArrowProcess"/>
    <dgm:cxn modelId="{BFC6E95C-3793-48BB-8BC4-6191774F33C9}" type="presParOf" srcId="{289ADFD1-8405-4ACF-856A-43F181DE6E8D}" destId="{20973AC1-28C6-4989-8039-15D7022AE5B1}" srcOrd="0" destOrd="0" presId="urn:microsoft.com/office/officeart/2009/layout/CircleArrowProcess"/>
    <dgm:cxn modelId="{FDA96BA5-9ACF-4FB0-84BC-E33D2C0AD356}" type="presParOf" srcId="{D267B7F5-6682-47C3-A1CC-21FA0428D601}" destId="{B4F85C4D-FAED-42C3-83DD-49F5B7058F6D}" srcOrd="3" destOrd="0" presId="urn:microsoft.com/office/officeart/2009/layout/CircleArrowProcess"/>
    <dgm:cxn modelId="{E8736B4C-1F5F-4A9B-9A19-B25F2A4C1150}" type="presParOf" srcId="{D267B7F5-6682-47C3-A1CC-21FA0428D601}" destId="{C379C324-F343-4718-AFD2-3EC3D351A09E}" srcOrd="4" destOrd="0" presId="urn:microsoft.com/office/officeart/2009/layout/CircleArrowProcess"/>
    <dgm:cxn modelId="{067F2554-BF30-471D-9F22-3634F17BFB4C}" type="presParOf" srcId="{C379C324-F343-4718-AFD2-3EC3D351A09E}" destId="{B34E416B-120C-4A3B-8EF6-81BED5F4B85D}" srcOrd="0" destOrd="0" presId="urn:microsoft.com/office/officeart/2009/layout/CircleArrowProcess"/>
    <dgm:cxn modelId="{F38B83E7-80DF-4EE5-B21E-4DC76A728668}" type="presParOf" srcId="{D267B7F5-6682-47C3-A1CC-21FA0428D601}" destId="{60A59C0C-B90C-47EC-B214-F1967D6C3F98}" srcOrd="5" destOrd="0" presId="urn:microsoft.com/office/officeart/2009/layout/CircleArrowProcess"/>
  </dgm:cxnLst>
  <dgm:bg/>
  <dgm:whole/>
  <dgm:extLst>
    <a:ext uri="http://schemas.microsoft.com/office/drawing/2008/diagram">
      <dsp:dataModelExt xmlns:dsp="http://schemas.microsoft.com/office/drawing/2008/diagram" xmlns="" relId="rId5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8F74FE2-09C4-4FF5-8F3C-E99D50B28DF6}" type="doc">
      <dgm:prSet loTypeId="urn:microsoft.com/office/officeart/2005/8/layout/target3" loCatId="relationship" qsTypeId="urn:microsoft.com/office/officeart/2005/8/quickstyle/simple1" qsCatId="simple" csTypeId="urn:microsoft.com/office/officeart/2005/8/colors/colorful1#3" csCatId="colorful" phldr="1"/>
      <dgm:spPr/>
      <dgm:t>
        <a:bodyPr/>
        <a:lstStyle/>
        <a:p>
          <a:endParaRPr lang="sq-AL"/>
        </a:p>
      </dgm:t>
    </dgm:pt>
    <dgm:pt modelId="{F5766986-778C-4216-9301-C7FE930E076B}">
      <dgm:prSet phldrT="[Text]" custT="1"/>
      <dgm:spPr>
        <a:ln>
          <a:solidFill>
            <a:srgbClr val="FF0000"/>
          </a:solidFill>
        </a:ln>
      </dgm:spPr>
      <dgm:t>
        <a:bodyPr/>
        <a:lstStyle/>
        <a:p>
          <a:pPr algn="just"/>
          <a:r>
            <a:rPr lang="en-US" sz="1400" b="0">
              <a:latin typeface="Times New Roman" panose="02020603050405020304" pitchFamily="18" charset="0"/>
              <a:cs typeface="Times New Roman" panose="02020603050405020304" pitchFamily="18" charset="0"/>
            </a:rPr>
            <a:t>Regjistri Qëndror i Subjekteve Kontrolles </a:t>
          </a:r>
          <a:endParaRPr lang="sq-AL" sz="1400">
            <a:latin typeface="Times New Roman" panose="02020603050405020304" pitchFamily="18" charset="0"/>
            <a:cs typeface="Times New Roman" panose="02020603050405020304" pitchFamily="18" charset="0"/>
          </a:endParaRPr>
        </a:p>
      </dgm:t>
    </dgm:pt>
    <dgm:pt modelId="{12A7300B-1052-48F0-95C2-0772140161DF}" type="parTrans" cxnId="{CE3A380A-CD54-4D81-A394-B7AF80139BD9}">
      <dgm:prSet/>
      <dgm:spPr/>
      <dgm:t>
        <a:bodyPr/>
        <a:lstStyle/>
        <a:p>
          <a:pPr algn="just"/>
          <a:endParaRPr lang="sq-AL"/>
        </a:p>
      </dgm:t>
    </dgm:pt>
    <dgm:pt modelId="{0057FD01-A0DD-41E9-A091-CC3DA502DB60}" type="sibTrans" cxnId="{CE3A380A-CD54-4D81-A394-B7AF80139BD9}">
      <dgm:prSet/>
      <dgm:spPr/>
      <dgm:t>
        <a:bodyPr/>
        <a:lstStyle/>
        <a:p>
          <a:pPr algn="just"/>
          <a:endParaRPr lang="sq-AL"/>
        </a:p>
      </dgm:t>
    </dgm:pt>
    <dgm:pt modelId="{20623289-D0AA-406A-99A5-D6CFE220B4B5}">
      <dgm:prSet phldrT="[Text]" custT="1"/>
      <dgm:spPr/>
      <dgm:t>
        <a:bodyPr/>
        <a:lstStyle/>
        <a:p>
          <a:pPr algn="l"/>
          <a:r>
            <a:rPr lang="en-US" sz="1200" b="1">
              <a:latin typeface="Times New Roman" panose="02020603050405020304" pitchFamily="18" charset="0"/>
              <a:cs typeface="Times New Roman" panose="02020603050405020304" pitchFamily="18" charset="0"/>
            </a:rPr>
            <a:t>5364 </a:t>
          </a:r>
          <a:r>
            <a:rPr lang="en-US" sz="1200">
              <a:latin typeface="Times New Roman" panose="02020603050405020304" pitchFamily="18" charset="0"/>
              <a:cs typeface="Times New Roman" panose="02020603050405020304" pitchFamily="18" charset="0"/>
            </a:rPr>
            <a:t>Kontrollues të regjistruar</a:t>
          </a:r>
          <a:endParaRPr lang="sq-AL" sz="1200" b="0">
            <a:latin typeface="Times New Roman" panose="02020603050405020304" pitchFamily="18" charset="0"/>
            <a:cs typeface="Times New Roman" panose="02020603050405020304" pitchFamily="18" charset="0"/>
          </a:endParaRPr>
        </a:p>
      </dgm:t>
    </dgm:pt>
    <dgm:pt modelId="{2A7DF848-080C-413E-8324-4AED8F859528}" type="parTrans" cxnId="{3C39AA4B-F900-47F5-AD02-B8B09F865007}">
      <dgm:prSet/>
      <dgm:spPr/>
      <dgm:t>
        <a:bodyPr/>
        <a:lstStyle/>
        <a:p>
          <a:pPr algn="just"/>
          <a:endParaRPr lang="sq-AL"/>
        </a:p>
      </dgm:t>
    </dgm:pt>
    <dgm:pt modelId="{AD7AA875-B8E7-4964-9B33-A8F555309420}" type="sibTrans" cxnId="{3C39AA4B-F900-47F5-AD02-B8B09F865007}">
      <dgm:prSet/>
      <dgm:spPr/>
      <dgm:t>
        <a:bodyPr/>
        <a:lstStyle/>
        <a:p>
          <a:pPr algn="just"/>
          <a:endParaRPr lang="sq-AL"/>
        </a:p>
      </dgm:t>
    </dgm:pt>
    <dgm:pt modelId="{440696E3-EB9D-42CB-8D77-6C03C14FAF16}">
      <dgm:prSet phldrT="[Text]" custT="1"/>
      <dgm:spPr/>
      <dgm:t>
        <a:bodyPr/>
        <a:lstStyle/>
        <a:p>
          <a:pPr algn="just"/>
          <a:r>
            <a:rPr lang="en-US" sz="1200">
              <a:latin typeface="Times New Roman" panose="02020603050405020304" pitchFamily="18" charset="0"/>
              <a:cs typeface="Times New Roman" panose="02020603050405020304" pitchFamily="18" charset="0"/>
            </a:rPr>
            <a:t>Kanë njoftuar </a:t>
          </a:r>
          <a:r>
            <a:rPr lang="en-US" sz="1200" b="1">
              <a:latin typeface="Times New Roman" panose="02020603050405020304" pitchFamily="18" charset="0"/>
              <a:cs typeface="Times New Roman" panose="02020603050405020304" pitchFamily="18" charset="0"/>
            </a:rPr>
            <a:t>168 </a:t>
          </a:r>
          <a:r>
            <a:rPr lang="en-US" sz="1200">
              <a:latin typeface="Times New Roman" panose="02020603050405020304" pitchFamily="18" charset="0"/>
              <a:cs typeface="Times New Roman" panose="02020603050405020304" pitchFamily="18" charset="0"/>
            </a:rPr>
            <a:t>subjekte kontrollues</a:t>
          </a:r>
          <a:endParaRPr lang="sq-AL" sz="1200">
            <a:latin typeface="Times New Roman" panose="02020603050405020304" pitchFamily="18" charset="0"/>
            <a:cs typeface="Times New Roman" panose="02020603050405020304" pitchFamily="18" charset="0"/>
          </a:endParaRPr>
        </a:p>
      </dgm:t>
    </dgm:pt>
    <dgm:pt modelId="{C2ED2450-5591-462E-97BE-C8AB297CEE7C}" type="sibTrans" cxnId="{2FC53BA4-4DDE-4E6E-B712-D03CC6D6C27E}">
      <dgm:prSet/>
      <dgm:spPr/>
      <dgm:t>
        <a:bodyPr/>
        <a:lstStyle/>
        <a:p>
          <a:pPr algn="just"/>
          <a:endParaRPr lang="sq-AL"/>
        </a:p>
      </dgm:t>
    </dgm:pt>
    <dgm:pt modelId="{1C0161D5-FF8D-4F90-9ECF-887DC5F3F770}" type="parTrans" cxnId="{2FC53BA4-4DDE-4E6E-B712-D03CC6D6C27E}">
      <dgm:prSet/>
      <dgm:spPr/>
      <dgm:t>
        <a:bodyPr/>
        <a:lstStyle/>
        <a:p>
          <a:pPr algn="just"/>
          <a:endParaRPr lang="sq-AL"/>
        </a:p>
      </dgm:t>
    </dgm:pt>
    <dgm:pt modelId="{B6FB52D0-4693-4D95-B1BB-D2946D3A1497}">
      <dgm:prSet phldrT="[Text]" custT="1"/>
      <dgm:spPr/>
      <dgm:t>
        <a:bodyPr/>
        <a:lstStyle/>
        <a:p>
          <a:pPr algn="just"/>
          <a:r>
            <a:rPr lang="en-US" sz="1400">
              <a:latin typeface="Times New Roman" panose="02020603050405020304" pitchFamily="18" charset="0"/>
              <a:cs typeface="Times New Roman" panose="02020603050405020304" pitchFamily="18" charset="0"/>
            </a:rPr>
            <a:t>Vetëm për vitin 2017</a:t>
          </a:r>
          <a:endParaRPr lang="sq-AL" sz="1400">
            <a:latin typeface="Times New Roman" panose="02020603050405020304" pitchFamily="18" charset="0"/>
            <a:cs typeface="Times New Roman" panose="02020603050405020304" pitchFamily="18" charset="0"/>
          </a:endParaRPr>
        </a:p>
      </dgm:t>
    </dgm:pt>
    <dgm:pt modelId="{A1A931F6-DFE3-45E7-B240-6018658E29D0}" type="sibTrans" cxnId="{8C3FF5D8-1130-4894-AD79-2BA108DB9795}">
      <dgm:prSet/>
      <dgm:spPr/>
      <dgm:t>
        <a:bodyPr/>
        <a:lstStyle/>
        <a:p>
          <a:pPr algn="just"/>
          <a:endParaRPr lang="sq-AL"/>
        </a:p>
      </dgm:t>
    </dgm:pt>
    <dgm:pt modelId="{A455C3B1-8F98-434B-BDC0-03A250A6FB73}" type="parTrans" cxnId="{8C3FF5D8-1130-4894-AD79-2BA108DB9795}">
      <dgm:prSet/>
      <dgm:spPr/>
      <dgm:t>
        <a:bodyPr/>
        <a:lstStyle/>
        <a:p>
          <a:pPr algn="just"/>
          <a:endParaRPr lang="sq-AL"/>
        </a:p>
      </dgm:t>
    </dgm:pt>
    <dgm:pt modelId="{6B482A69-639D-44F3-8FA7-B63B33A25BE5}" type="pres">
      <dgm:prSet presAssocID="{B8F74FE2-09C4-4FF5-8F3C-E99D50B28DF6}" presName="Name0" presStyleCnt="0">
        <dgm:presLayoutVars>
          <dgm:chMax val="7"/>
          <dgm:dir/>
          <dgm:animLvl val="lvl"/>
          <dgm:resizeHandles val="exact"/>
        </dgm:presLayoutVars>
      </dgm:prSet>
      <dgm:spPr/>
      <dgm:t>
        <a:bodyPr/>
        <a:lstStyle/>
        <a:p>
          <a:endParaRPr lang="sq-AL"/>
        </a:p>
      </dgm:t>
    </dgm:pt>
    <dgm:pt modelId="{9486C5FF-40EE-4635-894E-3B94AEFD7C7B}" type="pres">
      <dgm:prSet presAssocID="{F5766986-778C-4216-9301-C7FE930E076B}" presName="circle1" presStyleLbl="node1" presStyleIdx="0" presStyleCnt="2"/>
      <dgm:spPr>
        <a:solidFill>
          <a:srgbClr val="FF0000"/>
        </a:solidFill>
        <a:ln>
          <a:solidFill>
            <a:srgbClr val="FF0000"/>
          </a:solidFill>
        </a:ln>
      </dgm:spPr>
    </dgm:pt>
    <dgm:pt modelId="{8C93B8FA-4BC7-4555-A1D7-2A166431635A}" type="pres">
      <dgm:prSet presAssocID="{F5766986-778C-4216-9301-C7FE930E076B}" presName="space" presStyleCnt="0"/>
      <dgm:spPr/>
    </dgm:pt>
    <dgm:pt modelId="{DD4953D1-423E-4347-893D-5B1E3476277B}" type="pres">
      <dgm:prSet presAssocID="{F5766986-778C-4216-9301-C7FE930E076B}" presName="rect1" presStyleLbl="alignAcc1" presStyleIdx="0" presStyleCnt="2"/>
      <dgm:spPr/>
      <dgm:t>
        <a:bodyPr/>
        <a:lstStyle/>
        <a:p>
          <a:endParaRPr lang="sq-AL"/>
        </a:p>
      </dgm:t>
    </dgm:pt>
    <dgm:pt modelId="{120B88A8-0D57-4FDE-A5A3-56CDD57C6A95}" type="pres">
      <dgm:prSet presAssocID="{B6FB52D0-4693-4D95-B1BB-D2946D3A1497}" presName="vertSpace2" presStyleLbl="node1" presStyleIdx="0" presStyleCnt="2"/>
      <dgm:spPr/>
    </dgm:pt>
    <dgm:pt modelId="{C170762C-4F80-4D90-9A92-0B3A612851D3}" type="pres">
      <dgm:prSet presAssocID="{B6FB52D0-4693-4D95-B1BB-D2946D3A1497}" presName="circle2" presStyleLbl="node1" presStyleIdx="1" presStyleCnt="2"/>
      <dgm:spPr/>
    </dgm:pt>
    <dgm:pt modelId="{A8B10034-E783-4B03-9AA0-4AAC3943238E}" type="pres">
      <dgm:prSet presAssocID="{B6FB52D0-4693-4D95-B1BB-D2946D3A1497}" presName="rect2" presStyleLbl="alignAcc1" presStyleIdx="1" presStyleCnt="2" custLinFactNeighborX="3969" custLinFactNeighborY="10526"/>
      <dgm:spPr/>
      <dgm:t>
        <a:bodyPr/>
        <a:lstStyle/>
        <a:p>
          <a:endParaRPr lang="sq-AL"/>
        </a:p>
      </dgm:t>
    </dgm:pt>
    <dgm:pt modelId="{63BFAE2E-72AE-490D-9780-2A821387F074}" type="pres">
      <dgm:prSet presAssocID="{F5766986-778C-4216-9301-C7FE930E076B}" presName="rect1ParTx" presStyleLbl="alignAcc1" presStyleIdx="1" presStyleCnt="2">
        <dgm:presLayoutVars>
          <dgm:chMax val="1"/>
          <dgm:bulletEnabled val="1"/>
        </dgm:presLayoutVars>
      </dgm:prSet>
      <dgm:spPr/>
      <dgm:t>
        <a:bodyPr/>
        <a:lstStyle/>
        <a:p>
          <a:endParaRPr lang="sq-AL"/>
        </a:p>
      </dgm:t>
    </dgm:pt>
    <dgm:pt modelId="{79352EBF-342B-4BAF-A64A-EDD912247BCB}" type="pres">
      <dgm:prSet presAssocID="{F5766986-778C-4216-9301-C7FE930E076B}" presName="rect1ChTx" presStyleLbl="alignAcc1" presStyleIdx="1" presStyleCnt="2">
        <dgm:presLayoutVars>
          <dgm:bulletEnabled val="1"/>
        </dgm:presLayoutVars>
      </dgm:prSet>
      <dgm:spPr/>
      <dgm:t>
        <a:bodyPr/>
        <a:lstStyle/>
        <a:p>
          <a:endParaRPr lang="sq-AL"/>
        </a:p>
      </dgm:t>
    </dgm:pt>
    <dgm:pt modelId="{393EFC78-4946-4AA3-B83D-742BB1271A87}" type="pres">
      <dgm:prSet presAssocID="{B6FB52D0-4693-4D95-B1BB-D2946D3A1497}" presName="rect2ParTx" presStyleLbl="alignAcc1" presStyleIdx="1" presStyleCnt="2">
        <dgm:presLayoutVars>
          <dgm:chMax val="1"/>
          <dgm:bulletEnabled val="1"/>
        </dgm:presLayoutVars>
      </dgm:prSet>
      <dgm:spPr/>
      <dgm:t>
        <a:bodyPr/>
        <a:lstStyle/>
        <a:p>
          <a:endParaRPr lang="sq-AL"/>
        </a:p>
      </dgm:t>
    </dgm:pt>
    <dgm:pt modelId="{4CDD0897-66A8-4FA3-ACFF-9213C0C86FE7}" type="pres">
      <dgm:prSet presAssocID="{B6FB52D0-4693-4D95-B1BB-D2946D3A1497}" presName="rect2ChTx" presStyleLbl="alignAcc1" presStyleIdx="1" presStyleCnt="2">
        <dgm:presLayoutVars>
          <dgm:bulletEnabled val="1"/>
        </dgm:presLayoutVars>
      </dgm:prSet>
      <dgm:spPr/>
      <dgm:t>
        <a:bodyPr/>
        <a:lstStyle/>
        <a:p>
          <a:endParaRPr lang="sq-AL"/>
        </a:p>
      </dgm:t>
    </dgm:pt>
  </dgm:ptLst>
  <dgm:cxnLst>
    <dgm:cxn modelId="{B33308B5-39A7-4A91-AEBE-675F8D4C0E7D}" type="presOf" srcId="{B6FB52D0-4693-4D95-B1BB-D2946D3A1497}" destId="{393EFC78-4946-4AA3-B83D-742BB1271A87}" srcOrd="1" destOrd="0" presId="urn:microsoft.com/office/officeart/2005/8/layout/target3"/>
    <dgm:cxn modelId="{2FC53BA4-4DDE-4E6E-B712-D03CC6D6C27E}" srcId="{B6FB52D0-4693-4D95-B1BB-D2946D3A1497}" destId="{440696E3-EB9D-42CB-8D77-6C03C14FAF16}" srcOrd="0" destOrd="0" parTransId="{1C0161D5-FF8D-4F90-9ECF-887DC5F3F770}" sibTransId="{C2ED2450-5591-462E-97BE-C8AB297CEE7C}"/>
    <dgm:cxn modelId="{3C39AA4B-F900-47F5-AD02-B8B09F865007}" srcId="{F5766986-778C-4216-9301-C7FE930E076B}" destId="{20623289-D0AA-406A-99A5-D6CFE220B4B5}" srcOrd="0" destOrd="0" parTransId="{2A7DF848-080C-413E-8324-4AED8F859528}" sibTransId="{AD7AA875-B8E7-4964-9B33-A8F555309420}"/>
    <dgm:cxn modelId="{CE3A380A-CD54-4D81-A394-B7AF80139BD9}" srcId="{B8F74FE2-09C4-4FF5-8F3C-E99D50B28DF6}" destId="{F5766986-778C-4216-9301-C7FE930E076B}" srcOrd="0" destOrd="0" parTransId="{12A7300B-1052-48F0-95C2-0772140161DF}" sibTransId="{0057FD01-A0DD-41E9-A091-CC3DA502DB60}"/>
    <dgm:cxn modelId="{0DD9F057-B2AD-43D2-935D-B62B506F4302}" type="presOf" srcId="{440696E3-EB9D-42CB-8D77-6C03C14FAF16}" destId="{4CDD0897-66A8-4FA3-ACFF-9213C0C86FE7}" srcOrd="0" destOrd="0" presId="urn:microsoft.com/office/officeart/2005/8/layout/target3"/>
    <dgm:cxn modelId="{3AA0E9EB-4B53-40C5-9744-C2B75417DE0E}" type="presOf" srcId="{F5766986-778C-4216-9301-C7FE930E076B}" destId="{63BFAE2E-72AE-490D-9780-2A821387F074}" srcOrd="1" destOrd="0" presId="urn:microsoft.com/office/officeart/2005/8/layout/target3"/>
    <dgm:cxn modelId="{8C3FF5D8-1130-4894-AD79-2BA108DB9795}" srcId="{B8F74FE2-09C4-4FF5-8F3C-E99D50B28DF6}" destId="{B6FB52D0-4693-4D95-B1BB-D2946D3A1497}" srcOrd="1" destOrd="0" parTransId="{A455C3B1-8F98-434B-BDC0-03A250A6FB73}" sibTransId="{A1A931F6-DFE3-45E7-B240-6018658E29D0}"/>
    <dgm:cxn modelId="{0BC12297-CDB1-4858-978A-1993579D29A9}" type="presOf" srcId="{B8F74FE2-09C4-4FF5-8F3C-E99D50B28DF6}" destId="{6B482A69-639D-44F3-8FA7-B63B33A25BE5}" srcOrd="0" destOrd="0" presId="urn:microsoft.com/office/officeart/2005/8/layout/target3"/>
    <dgm:cxn modelId="{1A645347-F9BA-4A65-B9FB-98305B675BAC}" type="presOf" srcId="{F5766986-778C-4216-9301-C7FE930E076B}" destId="{DD4953D1-423E-4347-893D-5B1E3476277B}" srcOrd="0" destOrd="0" presId="urn:microsoft.com/office/officeart/2005/8/layout/target3"/>
    <dgm:cxn modelId="{0497400A-EA5A-4E6C-A6E4-A2D92E35A1C2}" type="presOf" srcId="{20623289-D0AA-406A-99A5-D6CFE220B4B5}" destId="{79352EBF-342B-4BAF-A64A-EDD912247BCB}" srcOrd="0" destOrd="0" presId="urn:microsoft.com/office/officeart/2005/8/layout/target3"/>
    <dgm:cxn modelId="{C83B89EA-CEDA-4E80-8BE3-20D1C8EF010A}" type="presOf" srcId="{B6FB52D0-4693-4D95-B1BB-D2946D3A1497}" destId="{A8B10034-E783-4B03-9AA0-4AAC3943238E}" srcOrd="0" destOrd="0" presId="urn:microsoft.com/office/officeart/2005/8/layout/target3"/>
    <dgm:cxn modelId="{CE33EA69-1000-446A-9C0D-B79073D65366}" type="presParOf" srcId="{6B482A69-639D-44F3-8FA7-B63B33A25BE5}" destId="{9486C5FF-40EE-4635-894E-3B94AEFD7C7B}" srcOrd="0" destOrd="0" presId="urn:microsoft.com/office/officeart/2005/8/layout/target3"/>
    <dgm:cxn modelId="{8624552A-16B8-4779-9915-2FEDACFB761E}" type="presParOf" srcId="{6B482A69-639D-44F3-8FA7-B63B33A25BE5}" destId="{8C93B8FA-4BC7-4555-A1D7-2A166431635A}" srcOrd="1" destOrd="0" presId="urn:microsoft.com/office/officeart/2005/8/layout/target3"/>
    <dgm:cxn modelId="{6D3EFC0A-3B49-4148-B701-118BA3457819}" type="presParOf" srcId="{6B482A69-639D-44F3-8FA7-B63B33A25BE5}" destId="{DD4953D1-423E-4347-893D-5B1E3476277B}" srcOrd="2" destOrd="0" presId="urn:microsoft.com/office/officeart/2005/8/layout/target3"/>
    <dgm:cxn modelId="{3F553946-38EA-4D7C-B3DE-8074DABE9314}" type="presParOf" srcId="{6B482A69-639D-44F3-8FA7-B63B33A25BE5}" destId="{120B88A8-0D57-4FDE-A5A3-56CDD57C6A95}" srcOrd="3" destOrd="0" presId="urn:microsoft.com/office/officeart/2005/8/layout/target3"/>
    <dgm:cxn modelId="{7C5E0B4D-37DF-4411-B42F-1A2580CA1A98}" type="presParOf" srcId="{6B482A69-639D-44F3-8FA7-B63B33A25BE5}" destId="{C170762C-4F80-4D90-9A92-0B3A612851D3}" srcOrd="4" destOrd="0" presId="urn:microsoft.com/office/officeart/2005/8/layout/target3"/>
    <dgm:cxn modelId="{9A3C92B7-471D-4201-A7B1-523E802A7695}" type="presParOf" srcId="{6B482A69-639D-44F3-8FA7-B63B33A25BE5}" destId="{A8B10034-E783-4B03-9AA0-4AAC3943238E}" srcOrd="5" destOrd="0" presId="urn:microsoft.com/office/officeart/2005/8/layout/target3"/>
    <dgm:cxn modelId="{EB694CE7-1A32-4A00-9629-18A001D49C03}" type="presParOf" srcId="{6B482A69-639D-44F3-8FA7-B63B33A25BE5}" destId="{63BFAE2E-72AE-490D-9780-2A821387F074}" srcOrd="6" destOrd="0" presId="urn:microsoft.com/office/officeart/2005/8/layout/target3"/>
    <dgm:cxn modelId="{FE01E76F-DE81-457C-AD8D-7A53532D46C1}" type="presParOf" srcId="{6B482A69-639D-44F3-8FA7-B63B33A25BE5}" destId="{79352EBF-342B-4BAF-A64A-EDD912247BCB}" srcOrd="7" destOrd="0" presId="urn:microsoft.com/office/officeart/2005/8/layout/target3"/>
    <dgm:cxn modelId="{6CBDD551-6E3B-42DD-A1EC-756FD487CD9A}" type="presParOf" srcId="{6B482A69-639D-44F3-8FA7-B63B33A25BE5}" destId="{393EFC78-4946-4AA3-B83D-742BB1271A87}" srcOrd="8" destOrd="0" presId="urn:microsoft.com/office/officeart/2005/8/layout/target3"/>
    <dgm:cxn modelId="{41DB5CFF-22A2-4272-BA62-E628004B5DE6}" type="presParOf" srcId="{6B482A69-639D-44F3-8FA7-B63B33A25BE5}" destId="{4CDD0897-66A8-4FA3-ACFF-9213C0C86FE7}" srcOrd="9" destOrd="0" presId="urn:microsoft.com/office/officeart/2005/8/layout/target3"/>
  </dgm:cxnLst>
  <dgm:bg/>
  <dgm:whole/>
  <dgm:extLst>
    <a:ext uri="http://schemas.microsoft.com/office/drawing/2008/diagram">
      <dsp:dataModelExt xmlns:dsp="http://schemas.microsoft.com/office/drawing/2008/diagram" xmlns="" relId="rId64"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A2F65E2-B09B-44FD-BAD9-F88FE32689A9}">
      <dsp:nvSpPr>
        <dsp:cNvPr id="0" name=""/>
        <dsp:cNvSpPr/>
      </dsp:nvSpPr>
      <dsp:spPr>
        <a:xfrm>
          <a:off x="2782356" y="1786110"/>
          <a:ext cx="1650151" cy="1662754"/>
        </a:xfrm>
        <a:prstGeom prst="gear9">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sq-AL" sz="1100" b="1" kern="1200">
              <a:solidFill>
                <a:schemeClr val="tx1"/>
              </a:solidFill>
              <a:latin typeface="Times New Roman" panose="02020603050405020304" pitchFamily="18" charset="0"/>
              <a:cs typeface="Times New Roman" panose="02020603050405020304" pitchFamily="18" charset="0"/>
            </a:rPr>
            <a:t>227</a:t>
          </a:r>
          <a:r>
            <a:rPr lang="sq-AL" sz="1100" kern="1200">
              <a:solidFill>
                <a:schemeClr val="tx1"/>
              </a:solidFill>
              <a:latin typeface="Times New Roman" panose="02020603050405020304" pitchFamily="18" charset="0"/>
              <a:cs typeface="Times New Roman" panose="02020603050405020304" pitchFamily="18" charset="0"/>
            </a:rPr>
            <a:t> </a:t>
          </a:r>
          <a:r>
            <a:rPr lang="en-US" sz="1000" kern="1200">
              <a:solidFill>
                <a:schemeClr val="tx1"/>
              </a:solidFill>
              <a:latin typeface="Times New Roman" panose="02020603050405020304" pitchFamily="18" charset="0"/>
              <a:cs typeface="Times New Roman" panose="02020603050405020304" pitchFamily="18" charset="0"/>
            </a:rPr>
            <a:t>A.P. </a:t>
          </a:r>
          <a:r>
            <a:rPr lang="sq-AL" sz="1000" kern="1200">
              <a:solidFill>
                <a:schemeClr val="tx1"/>
              </a:solidFill>
              <a:latin typeface="Times New Roman" panose="02020603050405020304" pitchFamily="18" charset="0"/>
              <a:cs typeface="Times New Roman" panose="02020603050405020304" pitchFamily="18" charset="0"/>
            </a:rPr>
            <a:t>kanë caktuar Koordinator për të drejtën e informimit</a:t>
          </a:r>
        </a:p>
      </dsp:txBody>
      <dsp:txXfrm>
        <a:off x="2782356" y="1786110"/>
        <a:ext cx="1650151" cy="1662754"/>
      </dsp:txXfrm>
    </dsp:sp>
    <dsp:sp modelId="{842BCCDE-71D5-4315-A510-9D0CFB46F9FC}">
      <dsp:nvSpPr>
        <dsp:cNvPr id="0" name=""/>
        <dsp:cNvSpPr/>
      </dsp:nvSpPr>
      <dsp:spPr>
        <a:xfrm>
          <a:off x="1396566" y="1059611"/>
          <a:ext cx="1575656" cy="1582935"/>
        </a:xfrm>
        <a:prstGeom prst="gear6">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sq-AL" sz="1000" b="1" kern="1200">
              <a:solidFill>
                <a:schemeClr val="tx1"/>
              </a:solidFill>
              <a:latin typeface="Times New Roman" panose="02020603050405020304" pitchFamily="18" charset="0"/>
              <a:cs typeface="Times New Roman" panose="02020603050405020304" pitchFamily="18" charset="0"/>
            </a:rPr>
            <a:t>181 </a:t>
          </a:r>
          <a:r>
            <a:rPr lang="en-US" sz="1000" kern="1200">
              <a:solidFill>
                <a:schemeClr val="tx1"/>
              </a:solidFill>
              <a:latin typeface="Times New Roman" panose="02020603050405020304" pitchFamily="18" charset="0"/>
              <a:cs typeface="Times New Roman" panose="02020603050405020304" pitchFamily="18" charset="0"/>
            </a:rPr>
            <a:t>A.P. </a:t>
          </a:r>
          <a:r>
            <a:rPr lang="sq-AL" sz="1000" kern="1200">
              <a:solidFill>
                <a:schemeClr val="tx1"/>
              </a:solidFill>
              <a:latin typeface="Times New Roman" panose="02020603050405020304" pitchFamily="18" charset="0"/>
              <a:cs typeface="Times New Roman" panose="02020603050405020304" pitchFamily="18" charset="0"/>
            </a:rPr>
            <a:t>kanë miratuar </a:t>
          </a:r>
          <a:r>
            <a:rPr lang="en-US" sz="1000" kern="1200">
              <a:solidFill>
                <a:schemeClr val="tx1"/>
              </a:solidFill>
              <a:latin typeface="Times New Roman" panose="02020603050405020304" pitchFamily="18" charset="0"/>
              <a:cs typeface="Times New Roman" panose="02020603050405020304" pitchFamily="18" charset="0"/>
            </a:rPr>
            <a:t>e publikuar P</a:t>
          </a:r>
          <a:r>
            <a:rPr lang="sq-AL" sz="1000" kern="1200">
              <a:solidFill>
                <a:schemeClr val="tx1"/>
              </a:solidFill>
              <a:latin typeface="Times New Roman" panose="02020603050405020304" pitchFamily="18" charset="0"/>
              <a:cs typeface="Times New Roman" panose="02020603050405020304" pitchFamily="18" charset="0"/>
            </a:rPr>
            <a:t>rogramin e </a:t>
          </a:r>
          <a:r>
            <a:rPr lang="en-US" sz="1000" kern="1200">
              <a:solidFill>
                <a:schemeClr val="tx1"/>
              </a:solidFill>
              <a:latin typeface="Times New Roman" panose="02020603050405020304" pitchFamily="18" charset="0"/>
              <a:cs typeface="Times New Roman" panose="02020603050405020304" pitchFamily="18" charset="0"/>
            </a:rPr>
            <a:t>T</a:t>
          </a:r>
          <a:r>
            <a:rPr lang="sq-AL" sz="1000" kern="1200">
              <a:solidFill>
                <a:schemeClr val="tx1"/>
              </a:solidFill>
              <a:latin typeface="Times New Roman" panose="02020603050405020304" pitchFamily="18" charset="0"/>
              <a:cs typeface="Times New Roman" panose="02020603050405020304" pitchFamily="18" charset="0"/>
            </a:rPr>
            <a:t>ransparencës</a:t>
          </a:r>
        </a:p>
      </dsp:txBody>
      <dsp:txXfrm>
        <a:off x="1396566" y="1059611"/>
        <a:ext cx="1575656" cy="1582935"/>
      </dsp:txXfrm>
    </dsp:sp>
    <dsp:sp modelId="{A4CF3A05-8A56-4B07-BDEC-640A62402147}">
      <dsp:nvSpPr>
        <dsp:cNvPr id="0" name=""/>
        <dsp:cNvSpPr/>
      </dsp:nvSpPr>
      <dsp:spPr>
        <a:xfrm rot="20700000">
          <a:off x="2342246" y="170878"/>
          <a:ext cx="1509621" cy="1437088"/>
        </a:xfrm>
        <a:prstGeom prst="gear6">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sq-AL" sz="1000" b="1" kern="1200">
              <a:solidFill>
                <a:schemeClr val="tx1"/>
              </a:solidFill>
              <a:latin typeface="Times New Roman" panose="02020603050405020304" pitchFamily="18" charset="0"/>
              <a:cs typeface="Times New Roman" panose="02020603050405020304" pitchFamily="18" charset="0"/>
            </a:rPr>
            <a:t>124 </a:t>
          </a:r>
          <a:r>
            <a:rPr lang="en-US" sz="1000" kern="1200">
              <a:solidFill>
                <a:schemeClr val="tx1"/>
              </a:solidFill>
              <a:latin typeface="Times New Roman" panose="02020603050405020304" pitchFamily="18" charset="0"/>
              <a:cs typeface="Times New Roman" panose="02020603050405020304" pitchFamily="18" charset="0"/>
            </a:rPr>
            <a:t> A.P. </a:t>
          </a:r>
          <a:r>
            <a:rPr lang="sq-AL" sz="1000" kern="1200">
              <a:solidFill>
                <a:schemeClr val="tx1"/>
              </a:solidFill>
              <a:latin typeface="Times New Roman" panose="02020603050405020304" pitchFamily="18" charset="0"/>
              <a:cs typeface="Times New Roman" panose="02020603050405020304" pitchFamily="18" charset="0"/>
            </a:rPr>
            <a:t>kanë publikuar </a:t>
          </a:r>
          <a:r>
            <a:rPr lang="en-US" sz="1000" kern="1200">
              <a:solidFill>
                <a:schemeClr val="tx1"/>
              </a:solidFill>
              <a:latin typeface="Times New Roman" panose="02020603050405020304" pitchFamily="18" charset="0"/>
              <a:cs typeface="Times New Roman" panose="02020603050405020304" pitchFamily="18" charset="0"/>
            </a:rPr>
            <a:t>R</a:t>
          </a:r>
          <a:r>
            <a:rPr lang="sq-AL" sz="1000" kern="1200">
              <a:solidFill>
                <a:schemeClr val="tx1"/>
              </a:solidFill>
              <a:latin typeface="Times New Roman" panose="02020603050405020304" pitchFamily="18" charset="0"/>
              <a:cs typeface="Times New Roman" panose="02020603050405020304" pitchFamily="18" charset="0"/>
            </a:rPr>
            <a:t>egjistrin e </a:t>
          </a:r>
          <a:r>
            <a:rPr lang="en-US" sz="1000" kern="1200">
              <a:solidFill>
                <a:schemeClr val="tx1"/>
              </a:solidFill>
              <a:latin typeface="Times New Roman" panose="02020603050405020304" pitchFamily="18" charset="0"/>
              <a:cs typeface="Times New Roman" panose="02020603050405020304" pitchFamily="18" charset="0"/>
            </a:rPr>
            <a:t>K</a:t>
          </a:r>
          <a:r>
            <a:rPr lang="sq-AL" sz="1000" kern="1200">
              <a:solidFill>
                <a:schemeClr val="tx1"/>
              </a:solidFill>
              <a:latin typeface="Times New Roman" panose="02020603050405020304" pitchFamily="18" charset="0"/>
              <a:cs typeface="Times New Roman" panose="02020603050405020304" pitchFamily="18" charset="0"/>
            </a:rPr>
            <a:t>ërkesa</a:t>
          </a:r>
          <a:r>
            <a:rPr lang="en-US" sz="1000" kern="1200">
              <a:solidFill>
                <a:schemeClr val="tx1"/>
              </a:solidFill>
              <a:latin typeface="Times New Roman" panose="02020603050405020304" pitchFamily="18" charset="0"/>
              <a:cs typeface="Times New Roman" panose="02020603050405020304" pitchFamily="18" charset="0"/>
            </a:rPr>
            <a:t>ve- P</a:t>
          </a:r>
          <a:r>
            <a:rPr lang="sq-AL" sz="1000" kern="1200">
              <a:solidFill>
                <a:schemeClr val="tx1"/>
              </a:solidFill>
              <a:latin typeface="Times New Roman" panose="02020603050405020304" pitchFamily="18" charset="0"/>
              <a:cs typeface="Times New Roman" panose="02020603050405020304" pitchFamily="18" charset="0"/>
            </a:rPr>
            <a:t>ërgjigjeve</a:t>
          </a:r>
          <a:r>
            <a:rPr lang="sq-AL" sz="1000" b="1" kern="1200">
              <a:solidFill>
                <a:schemeClr val="tx1"/>
              </a:solidFill>
              <a:latin typeface="Times New Roman" panose="02020603050405020304" pitchFamily="18" charset="0"/>
              <a:cs typeface="Times New Roman" panose="02020603050405020304" pitchFamily="18" charset="0"/>
            </a:rPr>
            <a:t> </a:t>
          </a:r>
          <a:endParaRPr lang="sq-AL" sz="1000" kern="1200">
            <a:solidFill>
              <a:schemeClr val="tx1"/>
            </a:solidFill>
            <a:latin typeface="Times New Roman" panose="02020603050405020304" pitchFamily="18" charset="0"/>
            <a:cs typeface="Times New Roman" panose="02020603050405020304" pitchFamily="18" charset="0"/>
          </a:endParaRPr>
        </a:p>
      </dsp:txBody>
      <dsp:txXfrm>
        <a:off x="2677652" y="481771"/>
        <a:ext cx="838808" cy="815301"/>
      </dsp:txXfrm>
    </dsp:sp>
    <dsp:sp modelId="{CC7A6A8F-BD11-4184-AE55-869A10743F43}">
      <dsp:nvSpPr>
        <dsp:cNvPr id="0" name=""/>
        <dsp:cNvSpPr/>
      </dsp:nvSpPr>
      <dsp:spPr>
        <a:xfrm>
          <a:off x="2380895" y="1405925"/>
          <a:ext cx="2454249" cy="2454249"/>
        </a:xfrm>
        <a:prstGeom prst="circularArrow">
          <a:avLst>
            <a:gd name="adj1" fmla="val 4687"/>
            <a:gd name="adj2" fmla="val 299029"/>
            <a:gd name="adj3" fmla="val 2496640"/>
            <a:gd name="adj4" fmla="val 15903998"/>
            <a:gd name="adj5" fmla="val 5469"/>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A7DB296-49CF-4F2B-81D7-7294B8F569D4}">
      <dsp:nvSpPr>
        <dsp:cNvPr id="0" name=""/>
        <dsp:cNvSpPr/>
      </dsp:nvSpPr>
      <dsp:spPr>
        <a:xfrm rot="20802339">
          <a:off x="1126731" y="649488"/>
          <a:ext cx="1783165" cy="1783165"/>
        </a:xfrm>
        <a:prstGeom prst="leftCircularArrow">
          <a:avLst>
            <a:gd name="adj1" fmla="val 6452"/>
            <a:gd name="adj2" fmla="val 429999"/>
            <a:gd name="adj3" fmla="val 10489124"/>
            <a:gd name="adj4" fmla="val 14837806"/>
            <a:gd name="adj5" fmla="val 7527"/>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6CAC6ED-55FE-494A-B682-27CB627CAE1D}">
      <dsp:nvSpPr>
        <dsp:cNvPr id="0" name=""/>
        <dsp:cNvSpPr/>
      </dsp:nvSpPr>
      <dsp:spPr>
        <a:xfrm rot="209310">
          <a:off x="2028806" y="-174358"/>
          <a:ext cx="2283255" cy="2057021"/>
        </a:xfrm>
        <a:prstGeom prst="circularArrow">
          <a:avLst>
            <a:gd name="adj1" fmla="val 5984"/>
            <a:gd name="adj2" fmla="val 394124"/>
            <a:gd name="adj3" fmla="val 13313824"/>
            <a:gd name="adj4" fmla="val 10508221"/>
            <a:gd name="adj5" fmla="val 6981"/>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0500AC8-D618-4A36-B058-440CD574556E}">
      <dsp:nvSpPr>
        <dsp:cNvPr id="0" name=""/>
        <dsp:cNvSpPr/>
      </dsp:nvSpPr>
      <dsp:spPr>
        <a:xfrm>
          <a:off x="986326" y="95983"/>
          <a:ext cx="1706918" cy="1707177"/>
        </a:xfrm>
        <a:prstGeom prst="circularArrow">
          <a:avLst>
            <a:gd name="adj1" fmla="val 10980"/>
            <a:gd name="adj2" fmla="val 1142322"/>
            <a:gd name="adj3" fmla="val 4500000"/>
            <a:gd name="adj4" fmla="val 10800000"/>
            <a:gd name="adj5" fmla="val 12500"/>
          </a:avLst>
        </a:prstGeom>
        <a:solidFill>
          <a:srgbClr val="5899D4"/>
        </a:solidFill>
        <a:ln w="12700" cap="flat" cmpd="sng" algn="ctr">
          <a:solidFill>
            <a:srgbClr val="5899D4"/>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F37AC4E-F21B-49BE-B772-D9579E0477A2}">
      <dsp:nvSpPr>
        <dsp:cNvPr id="0" name=""/>
        <dsp:cNvSpPr/>
      </dsp:nvSpPr>
      <dsp:spPr>
        <a:xfrm>
          <a:off x="1363611" y="712326"/>
          <a:ext cx="948501" cy="4741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sq-AL" sz="1400" b="1" kern="1200">
              <a:latin typeface="Times New Roman" panose="02020603050405020304" pitchFamily="18" charset="0"/>
              <a:cs typeface="Times New Roman" panose="02020603050405020304" pitchFamily="18" charset="0"/>
            </a:rPr>
            <a:t>153 </a:t>
          </a:r>
          <a:r>
            <a:rPr lang="en-US" sz="1400" kern="1200">
              <a:latin typeface="Times New Roman" panose="02020603050405020304" pitchFamily="18" charset="0"/>
              <a:cs typeface="Times New Roman" panose="02020603050405020304" pitchFamily="18" charset="0"/>
            </a:rPr>
            <a:t>I</a:t>
          </a:r>
          <a:r>
            <a:rPr lang="sq-AL" sz="1400" kern="1200">
              <a:latin typeface="Times New Roman" panose="02020603050405020304" pitchFamily="18" charset="0"/>
              <a:cs typeface="Times New Roman" panose="02020603050405020304" pitchFamily="18" charset="0"/>
            </a:rPr>
            <a:t>nspektime në terren </a:t>
          </a:r>
        </a:p>
      </dsp:txBody>
      <dsp:txXfrm>
        <a:off x="1363611" y="712326"/>
        <a:ext cx="948501" cy="474137"/>
      </dsp:txXfrm>
    </dsp:sp>
    <dsp:sp modelId="{20973AC1-28C6-4989-8039-15D7022AE5B1}">
      <dsp:nvSpPr>
        <dsp:cNvPr id="0" name=""/>
        <dsp:cNvSpPr/>
      </dsp:nvSpPr>
      <dsp:spPr>
        <a:xfrm>
          <a:off x="512235" y="1076884"/>
          <a:ext cx="1706918" cy="1707177"/>
        </a:xfrm>
        <a:prstGeom prst="leftCircularArrow">
          <a:avLst>
            <a:gd name="adj1" fmla="val 10980"/>
            <a:gd name="adj2" fmla="val 1142322"/>
            <a:gd name="adj3" fmla="val 6300000"/>
            <a:gd name="adj4" fmla="val 18900000"/>
            <a:gd name="adj5" fmla="val 125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4F85C4D-FAED-42C3-83DD-49F5B7058F6D}">
      <dsp:nvSpPr>
        <dsp:cNvPr id="0" name=""/>
        <dsp:cNvSpPr/>
      </dsp:nvSpPr>
      <dsp:spPr>
        <a:xfrm>
          <a:off x="891443" y="1698901"/>
          <a:ext cx="948501" cy="4741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52</a:t>
          </a:r>
          <a:r>
            <a:rPr lang="en-US" sz="1200" kern="1200">
              <a:latin typeface="Times New Roman" panose="02020603050405020304" pitchFamily="18" charset="0"/>
              <a:cs typeface="Times New Roman" panose="02020603050405020304" pitchFamily="18" charset="0"/>
            </a:rPr>
            <a:t> në Kontrollues Publik</a:t>
          </a:r>
          <a:endParaRPr lang="sq-AL" sz="1200" kern="1200">
            <a:latin typeface="Times New Roman" panose="02020603050405020304" pitchFamily="18" charset="0"/>
            <a:cs typeface="Times New Roman" panose="02020603050405020304" pitchFamily="18" charset="0"/>
          </a:endParaRPr>
        </a:p>
      </dsp:txBody>
      <dsp:txXfrm>
        <a:off x="891443" y="1698901"/>
        <a:ext cx="948501" cy="474137"/>
      </dsp:txXfrm>
    </dsp:sp>
    <dsp:sp modelId="{B34E416B-120C-4A3B-8EF6-81BED5F4B85D}">
      <dsp:nvSpPr>
        <dsp:cNvPr id="0" name=""/>
        <dsp:cNvSpPr/>
      </dsp:nvSpPr>
      <dsp:spPr>
        <a:xfrm>
          <a:off x="1107813" y="2175166"/>
          <a:ext cx="1466507" cy="1467094"/>
        </a:xfrm>
        <a:prstGeom prst="blockArc">
          <a:avLst>
            <a:gd name="adj1" fmla="val 13500000"/>
            <a:gd name="adj2" fmla="val 10800000"/>
            <a:gd name="adj3" fmla="val 1274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0A59C0C-B90C-47EC-B214-F1967D6C3F98}">
      <dsp:nvSpPr>
        <dsp:cNvPr id="0" name=""/>
        <dsp:cNvSpPr/>
      </dsp:nvSpPr>
      <dsp:spPr>
        <a:xfrm>
          <a:off x="1365855" y="2686894"/>
          <a:ext cx="948501" cy="4741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101</a:t>
          </a:r>
          <a:r>
            <a:rPr lang="en-US" sz="1200" kern="1200">
              <a:latin typeface="Times New Roman" panose="02020603050405020304" pitchFamily="18" charset="0"/>
              <a:cs typeface="Times New Roman" panose="02020603050405020304" pitchFamily="18" charset="0"/>
            </a:rPr>
            <a:t> në Kontrollues Privat</a:t>
          </a:r>
          <a:endParaRPr lang="sq-AL" sz="1200" kern="1200">
            <a:latin typeface="Times New Roman" panose="02020603050405020304" pitchFamily="18" charset="0"/>
            <a:cs typeface="Times New Roman" panose="02020603050405020304" pitchFamily="18" charset="0"/>
          </a:endParaRPr>
        </a:p>
      </dsp:txBody>
      <dsp:txXfrm>
        <a:off x="1365855" y="2686894"/>
        <a:ext cx="948501" cy="474137"/>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486C5FF-40EE-4635-894E-3B94AEFD7C7B}">
      <dsp:nvSpPr>
        <dsp:cNvPr id="0" name=""/>
        <dsp:cNvSpPr/>
      </dsp:nvSpPr>
      <dsp:spPr>
        <a:xfrm>
          <a:off x="0" y="0"/>
          <a:ext cx="1085850" cy="1085850"/>
        </a:xfrm>
        <a:prstGeom prst="pie">
          <a:avLst>
            <a:gd name="adj1" fmla="val 5400000"/>
            <a:gd name="adj2" fmla="val 16200000"/>
          </a:avLst>
        </a:prstGeom>
        <a:solidFill>
          <a:srgbClr val="FF0000"/>
        </a:solidFill>
        <a:ln w="12700"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D4953D1-423E-4347-893D-5B1E3476277B}">
      <dsp:nvSpPr>
        <dsp:cNvPr id="0" name=""/>
        <dsp:cNvSpPr/>
      </dsp:nvSpPr>
      <dsp:spPr>
        <a:xfrm>
          <a:off x="542925" y="0"/>
          <a:ext cx="4762500" cy="1085850"/>
        </a:xfrm>
        <a:prstGeom prst="rect">
          <a:avLst/>
        </a:prstGeom>
        <a:solidFill>
          <a:schemeClr val="lt1">
            <a:alpha val="90000"/>
            <a:hueOff val="0"/>
            <a:satOff val="0"/>
            <a:lumOff val="0"/>
            <a:alphaOff val="0"/>
          </a:schemeClr>
        </a:solidFill>
        <a:ln w="12700" cap="flat" cmpd="sng" algn="ctr">
          <a:solidFill>
            <a:srgbClr val="FF000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en-US" sz="1400" b="0" kern="1200">
              <a:latin typeface="Times New Roman" panose="02020603050405020304" pitchFamily="18" charset="0"/>
              <a:cs typeface="Times New Roman" panose="02020603050405020304" pitchFamily="18" charset="0"/>
            </a:rPr>
            <a:t>Regjistri Qëndror i Subjekteve Kontrolles </a:t>
          </a:r>
          <a:endParaRPr lang="sq-AL" sz="1400" kern="1200">
            <a:latin typeface="Times New Roman" panose="02020603050405020304" pitchFamily="18" charset="0"/>
            <a:cs typeface="Times New Roman" panose="02020603050405020304" pitchFamily="18" charset="0"/>
          </a:endParaRPr>
        </a:p>
      </dsp:txBody>
      <dsp:txXfrm>
        <a:off x="542925" y="0"/>
        <a:ext cx="2381250" cy="515778"/>
      </dsp:txXfrm>
    </dsp:sp>
    <dsp:sp modelId="{C170762C-4F80-4D90-9A92-0B3A612851D3}">
      <dsp:nvSpPr>
        <dsp:cNvPr id="0" name=""/>
        <dsp:cNvSpPr/>
      </dsp:nvSpPr>
      <dsp:spPr>
        <a:xfrm>
          <a:off x="285035" y="515778"/>
          <a:ext cx="515778" cy="515778"/>
        </a:xfrm>
        <a:prstGeom prst="pie">
          <a:avLst>
            <a:gd name="adj1" fmla="val 5400000"/>
            <a:gd name="adj2" fmla="val 1620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8B10034-E783-4B03-9AA0-4AAC3943238E}">
      <dsp:nvSpPr>
        <dsp:cNvPr id="0" name=""/>
        <dsp:cNvSpPr/>
      </dsp:nvSpPr>
      <dsp:spPr>
        <a:xfrm>
          <a:off x="542925" y="570069"/>
          <a:ext cx="4762500" cy="515778"/>
        </a:xfrm>
        <a:prstGeom prst="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Vetëm për vitin 2017</a:t>
          </a:r>
          <a:endParaRPr lang="sq-AL" sz="1400" kern="1200">
            <a:latin typeface="Times New Roman" panose="02020603050405020304" pitchFamily="18" charset="0"/>
            <a:cs typeface="Times New Roman" panose="02020603050405020304" pitchFamily="18" charset="0"/>
          </a:endParaRPr>
        </a:p>
      </dsp:txBody>
      <dsp:txXfrm>
        <a:off x="542925" y="570069"/>
        <a:ext cx="2381250" cy="515778"/>
      </dsp:txXfrm>
    </dsp:sp>
    <dsp:sp modelId="{79352EBF-342B-4BAF-A64A-EDD912247BCB}">
      <dsp:nvSpPr>
        <dsp:cNvPr id="0" name=""/>
        <dsp:cNvSpPr/>
      </dsp:nvSpPr>
      <dsp:spPr>
        <a:xfrm>
          <a:off x="2924174" y="0"/>
          <a:ext cx="2381250" cy="51577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247650" tIns="247650" rIns="247650" bIns="247650" numCol="1" spcCol="1270" anchor="ctr" anchorCtr="0">
          <a:noAutofit/>
        </a:bodyPr>
        <a:lstStyle/>
        <a:p>
          <a:pPr marL="114300" lvl="1" indent="-114300" algn="l" defTabSz="533400">
            <a:lnSpc>
              <a:spcPct val="90000"/>
            </a:lnSpc>
            <a:spcBef>
              <a:spcPct val="0"/>
            </a:spcBef>
            <a:spcAft>
              <a:spcPct val="15000"/>
            </a:spcAft>
            <a:buChar char="••"/>
          </a:pPr>
          <a:r>
            <a:rPr lang="en-US" sz="1200" b="1" kern="1200">
              <a:latin typeface="Times New Roman" panose="02020603050405020304" pitchFamily="18" charset="0"/>
              <a:cs typeface="Times New Roman" panose="02020603050405020304" pitchFamily="18" charset="0"/>
            </a:rPr>
            <a:t>5364 </a:t>
          </a:r>
          <a:r>
            <a:rPr lang="en-US" sz="1200" kern="1200">
              <a:latin typeface="Times New Roman" panose="02020603050405020304" pitchFamily="18" charset="0"/>
              <a:cs typeface="Times New Roman" panose="02020603050405020304" pitchFamily="18" charset="0"/>
            </a:rPr>
            <a:t>Kontrollues të regjistruar</a:t>
          </a:r>
          <a:endParaRPr lang="sq-AL" sz="1200" b="0" kern="1200">
            <a:latin typeface="Times New Roman" panose="02020603050405020304" pitchFamily="18" charset="0"/>
            <a:cs typeface="Times New Roman" panose="02020603050405020304" pitchFamily="18" charset="0"/>
          </a:endParaRPr>
        </a:p>
      </dsp:txBody>
      <dsp:txXfrm>
        <a:off x="2924174" y="0"/>
        <a:ext cx="2381250" cy="515778"/>
      </dsp:txXfrm>
    </dsp:sp>
    <dsp:sp modelId="{4CDD0897-66A8-4FA3-ACFF-9213C0C86FE7}">
      <dsp:nvSpPr>
        <dsp:cNvPr id="0" name=""/>
        <dsp:cNvSpPr/>
      </dsp:nvSpPr>
      <dsp:spPr>
        <a:xfrm>
          <a:off x="2924174" y="515778"/>
          <a:ext cx="2381250" cy="51577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247650" tIns="247650" rIns="247650" bIns="247650" numCol="1" spcCol="1270" anchor="ctr" anchorCtr="0">
          <a:noAutofit/>
        </a:bodyPr>
        <a:lstStyle/>
        <a:p>
          <a:pPr marL="114300" lvl="1" indent="-114300" algn="just"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Kanë njoftuar </a:t>
          </a:r>
          <a:r>
            <a:rPr lang="en-US" sz="1200" b="1" kern="1200">
              <a:latin typeface="Times New Roman" panose="02020603050405020304" pitchFamily="18" charset="0"/>
              <a:cs typeface="Times New Roman" panose="02020603050405020304" pitchFamily="18" charset="0"/>
            </a:rPr>
            <a:t>168 </a:t>
          </a:r>
          <a:r>
            <a:rPr lang="en-US" sz="1200" kern="1200">
              <a:latin typeface="Times New Roman" panose="02020603050405020304" pitchFamily="18" charset="0"/>
              <a:cs typeface="Times New Roman" panose="02020603050405020304" pitchFamily="18" charset="0"/>
            </a:rPr>
            <a:t>subjekte kontrollues</a:t>
          </a:r>
          <a:endParaRPr lang="sq-AL" sz="1200" kern="1200">
            <a:latin typeface="Times New Roman" panose="02020603050405020304" pitchFamily="18" charset="0"/>
            <a:cs typeface="Times New Roman" panose="02020603050405020304" pitchFamily="18" charset="0"/>
          </a:endParaRPr>
        </a:p>
      </dsp:txBody>
      <dsp:txXfrm>
        <a:off x="2924174" y="515778"/>
        <a:ext cx="2381250" cy="515778"/>
      </dsp:txXfrm>
    </dsp:sp>
  </dsp:spTree>
</dsp:drawing>
</file>

<file path=word/diagrams/layout1.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48</Pages>
  <Words>14392</Words>
  <Characters>82035</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96235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 Baku</dc:creator>
  <cp:lastModifiedBy>Rezarta Nina</cp:lastModifiedBy>
  <cp:revision>2</cp:revision>
  <dcterms:created xsi:type="dcterms:W3CDTF">2018-03-06T08:19:00Z</dcterms:created>
  <dcterms:modified xsi:type="dcterms:W3CDTF">2018-03-06T08:19:00Z</dcterms:modified>
</cp:coreProperties>
</file>