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1B4" w:rsidRDefault="00A451B4" w:rsidP="005B0E67">
      <w:pPr>
        <w:spacing w:after="0"/>
        <w:jc w:val="center"/>
        <w:rPr>
          <w:b/>
          <w:bCs/>
        </w:rPr>
      </w:pPr>
    </w:p>
    <w:p w:rsidR="00A451B4" w:rsidRDefault="00A451B4" w:rsidP="00A451B4">
      <w:pPr>
        <w:spacing w:after="0" w:line="276" w:lineRule="auto"/>
        <w:jc w:val="center"/>
        <w:rPr>
          <w:b/>
          <w:bCs/>
        </w:rPr>
      </w:pPr>
      <w:r w:rsidRPr="005F30CB">
        <w:rPr>
          <w:rFonts w:eastAsia="Calibri"/>
          <w:noProof/>
        </w:rPr>
        <w:drawing>
          <wp:inline distT="0" distB="0" distL="0" distR="0" wp14:anchorId="693FF5C6" wp14:editId="55C4948E">
            <wp:extent cx="5730875" cy="85026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850265"/>
                    </a:xfrm>
                    <a:prstGeom prst="rect">
                      <a:avLst/>
                    </a:prstGeom>
                    <a:noFill/>
                    <a:ln>
                      <a:noFill/>
                    </a:ln>
                  </pic:spPr>
                </pic:pic>
              </a:graphicData>
            </a:graphic>
          </wp:inline>
        </w:drawing>
      </w:r>
    </w:p>
    <w:p w:rsidR="005B0E67" w:rsidRPr="005B0E67" w:rsidRDefault="005B0E67" w:rsidP="005B0E67">
      <w:pPr>
        <w:spacing w:after="0"/>
        <w:jc w:val="center"/>
        <w:rPr>
          <w:b/>
          <w:bCs/>
        </w:rPr>
      </w:pPr>
      <w:bookmarkStart w:id="0" w:name="_GoBack"/>
      <w:bookmarkEnd w:id="0"/>
      <w:r w:rsidRPr="005B0E67">
        <w:rPr>
          <w:b/>
          <w:bCs/>
        </w:rPr>
        <w:t>KUVENDI</w:t>
      </w:r>
    </w:p>
    <w:p w:rsidR="005B0E67" w:rsidRPr="005B0E67" w:rsidRDefault="005B0E67" w:rsidP="005B0E67">
      <w:pPr>
        <w:spacing w:after="0"/>
        <w:jc w:val="center"/>
        <w:rPr>
          <w:b/>
          <w:bCs/>
          <w:i/>
          <w:iCs/>
        </w:rPr>
      </w:pPr>
      <w:r w:rsidRPr="005B0E67">
        <w:rPr>
          <w:b/>
          <w:bCs/>
          <w:i/>
          <w:iCs/>
        </w:rPr>
        <w:t>Komisioni për Ç</w:t>
      </w:r>
      <w:r w:rsidR="00E8048C">
        <w:rPr>
          <w:b/>
          <w:bCs/>
          <w:i/>
          <w:iCs/>
        </w:rPr>
        <w:t>ë</w:t>
      </w:r>
      <w:r w:rsidRPr="005B0E67">
        <w:rPr>
          <w:b/>
          <w:bCs/>
          <w:i/>
          <w:iCs/>
        </w:rPr>
        <w:t>shtjet Ligjore dhe Administrat</w:t>
      </w:r>
      <w:r w:rsidR="00E8048C">
        <w:rPr>
          <w:b/>
          <w:bCs/>
          <w:i/>
          <w:iCs/>
        </w:rPr>
        <w:t>ë</w:t>
      </w:r>
      <w:r w:rsidRPr="005B0E67">
        <w:rPr>
          <w:b/>
          <w:bCs/>
          <w:i/>
          <w:iCs/>
        </w:rPr>
        <w:t>s Publike</w:t>
      </w:r>
    </w:p>
    <w:p w:rsidR="005B0E67" w:rsidRPr="00953669" w:rsidRDefault="005B0E67" w:rsidP="00953669">
      <w:pPr>
        <w:spacing w:after="0"/>
        <w:jc w:val="center"/>
        <w:rPr>
          <w:b/>
          <w:bCs/>
          <w:i/>
          <w:iCs/>
        </w:rPr>
      </w:pPr>
      <w:r w:rsidRPr="005B0E67">
        <w:rPr>
          <w:b/>
          <w:bCs/>
          <w:i/>
          <w:iCs/>
        </w:rPr>
        <w:t>Komisioni për Nismat Qytetare, Bashkëpunimin dhe Mbikëqyrjen Institucionale</w:t>
      </w:r>
    </w:p>
    <w:p w:rsidR="00E8048C" w:rsidRDefault="00E8048C" w:rsidP="005B0E67">
      <w:pPr>
        <w:rPr>
          <w:b/>
          <w:bCs/>
        </w:rPr>
      </w:pPr>
    </w:p>
    <w:p w:rsidR="005B0E67" w:rsidRDefault="005B0E67" w:rsidP="005B0E67">
      <w:pPr>
        <w:rPr>
          <w:b/>
          <w:bCs/>
        </w:rPr>
      </w:pPr>
      <w:r w:rsidRPr="005B0E67">
        <w:rPr>
          <w:b/>
          <w:bCs/>
        </w:rPr>
        <w:t xml:space="preserve">Tiranë, më </w:t>
      </w:r>
      <w:r w:rsidR="006E7A36">
        <w:rPr>
          <w:b/>
          <w:bCs/>
        </w:rPr>
        <w:t>___</w:t>
      </w:r>
      <w:r w:rsidRPr="005B0E67">
        <w:rPr>
          <w:b/>
          <w:bCs/>
        </w:rPr>
        <w:t>.10.2025</w:t>
      </w:r>
      <w:r w:rsidRPr="005B0E67">
        <w:rPr>
          <w:b/>
          <w:bCs/>
        </w:rPr>
        <w:tab/>
      </w:r>
      <w:r w:rsidRPr="005B0E67">
        <w:rPr>
          <w:b/>
          <w:bCs/>
        </w:rPr>
        <w:tab/>
      </w:r>
      <w:r w:rsidRPr="005B0E67">
        <w:rPr>
          <w:b/>
          <w:bCs/>
        </w:rPr>
        <w:tab/>
      </w:r>
      <w:r w:rsidRPr="005B0E67">
        <w:rPr>
          <w:b/>
          <w:bCs/>
        </w:rPr>
        <w:tab/>
      </w:r>
      <w:r w:rsidRPr="005B0E67">
        <w:rPr>
          <w:b/>
          <w:bCs/>
        </w:rPr>
        <w:tab/>
      </w:r>
      <w:r w:rsidRPr="005B0E67">
        <w:rPr>
          <w:b/>
          <w:bCs/>
        </w:rPr>
        <w:tab/>
        <w:t>Dokument parlamentar</w:t>
      </w:r>
    </w:p>
    <w:p w:rsidR="005B0E67" w:rsidRPr="005B0E67" w:rsidRDefault="005B0E67" w:rsidP="005B0E67">
      <w:pPr>
        <w:rPr>
          <w:b/>
          <w:bCs/>
        </w:rPr>
      </w:pPr>
    </w:p>
    <w:p w:rsidR="005B0E67" w:rsidRPr="005B0E67" w:rsidRDefault="005B0E67" w:rsidP="005B0E67">
      <w:pPr>
        <w:spacing w:after="0"/>
        <w:jc w:val="center"/>
        <w:rPr>
          <w:b/>
          <w:bCs/>
        </w:rPr>
      </w:pPr>
      <w:r w:rsidRPr="005B0E67">
        <w:rPr>
          <w:b/>
          <w:bCs/>
        </w:rPr>
        <w:t>RAPORT</w:t>
      </w:r>
    </w:p>
    <w:p w:rsidR="005B0E67" w:rsidRPr="005B0E67" w:rsidRDefault="005B0E67" w:rsidP="005B0E67">
      <w:pPr>
        <w:spacing w:after="0"/>
        <w:jc w:val="center"/>
        <w:rPr>
          <w:b/>
          <w:bCs/>
        </w:rPr>
      </w:pPr>
      <w:r w:rsidRPr="005B0E67">
        <w:rPr>
          <w:b/>
          <w:bCs/>
        </w:rPr>
        <w:t>PËR VLERËSIMIN E VEPRIMTARISË SË</w:t>
      </w:r>
    </w:p>
    <w:p w:rsidR="005B0E67" w:rsidRPr="005B0E67" w:rsidRDefault="005B0E67" w:rsidP="005B0E67">
      <w:pPr>
        <w:spacing w:after="0"/>
        <w:jc w:val="center"/>
        <w:rPr>
          <w:b/>
          <w:bCs/>
        </w:rPr>
      </w:pPr>
      <w:r w:rsidRPr="005B0E67">
        <w:rPr>
          <w:b/>
          <w:bCs/>
        </w:rPr>
        <w:t>KOMISIONIT QENDROR T</w:t>
      </w:r>
      <w:r w:rsidR="00E8048C">
        <w:rPr>
          <w:b/>
          <w:bCs/>
        </w:rPr>
        <w:t>Ë</w:t>
      </w:r>
      <w:r w:rsidRPr="005B0E67">
        <w:rPr>
          <w:b/>
          <w:bCs/>
        </w:rPr>
        <w:t xml:space="preserve"> ZGJEDHJEVE PËR VITIN 2024</w:t>
      </w:r>
    </w:p>
    <w:p w:rsidR="005B0E67" w:rsidRDefault="005B0E67" w:rsidP="005B0E67"/>
    <w:p w:rsidR="006E7A36" w:rsidRDefault="006E7A36" w:rsidP="005B0E67"/>
    <w:p w:rsidR="005B0E67" w:rsidRPr="005B0E67" w:rsidRDefault="005B0E67" w:rsidP="005B0E67">
      <w:pPr>
        <w:rPr>
          <w:b/>
          <w:bCs/>
        </w:rPr>
      </w:pPr>
      <w:r w:rsidRPr="005B0E67">
        <w:rPr>
          <w:b/>
          <w:bCs/>
        </w:rPr>
        <w:t>I. HYRJE</w:t>
      </w:r>
    </w:p>
    <w:p w:rsidR="005B0E67" w:rsidRDefault="005B0E67" w:rsidP="005B0E67">
      <w:r>
        <w:t xml:space="preserve">Në mbështetje të nenit 37 të Rregullores së Kuvendit, Komisioni për </w:t>
      </w:r>
      <w:r w:rsidRPr="005B0E67">
        <w:t>Ç</w:t>
      </w:r>
      <w:r w:rsidR="00E8048C">
        <w:t>ë</w:t>
      </w:r>
      <w:r w:rsidRPr="005B0E67">
        <w:t>shtjet Ligjore dhe Administrat</w:t>
      </w:r>
      <w:r w:rsidR="00E8048C">
        <w:t>ë</w:t>
      </w:r>
      <w:r w:rsidRPr="005B0E67">
        <w:t xml:space="preserve">s Publike </w:t>
      </w:r>
      <w:r>
        <w:t>si dhe Komisioni për Nismat Qytetare, Bashkëpunimin dhe Mbikëqyrjen Institucionale organizuan mbledhjet e përbashkëta, p</w:t>
      </w:r>
      <w:r w:rsidR="00E8048C">
        <w:t>ë</w:t>
      </w:r>
      <w:r>
        <w:t>r raportimin vjetor t</w:t>
      </w:r>
      <w:r w:rsidR="00E8048C">
        <w:t>ë</w:t>
      </w:r>
      <w:r>
        <w:t xml:space="preserve"> Komisionit Qendror t</w:t>
      </w:r>
      <w:r w:rsidR="00E8048C">
        <w:t>ë</w:t>
      </w:r>
      <w:r>
        <w:t xml:space="preserve"> Zgjedhjeve.</w:t>
      </w:r>
    </w:p>
    <w:p w:rsidR="008B6EF5" w:rsidRDefault="005B0E67" w:rsidP="005B0E67">
      <w:r>
        <w:t>Bazuar në nenin 103, pika 2, të Rregullores së Kuvendit, në mbledhjet e zhvilluara në datat 7 dhe 10 tetor 2025, komisionet morën në shqyrtim Raportin Vjetor të punës së Komisionit Qendror t</w:t>
      </w:r>
      <w:r w:rsidR="00E8048C">
        <w:t>ë</w:t>
      </w:r>
      <w:r>
        <w:t xml:space="preserve"> Zgjedhjeve për vitin 2024, si dhe projekt-rezolutën “Për vlerësimin e veprimtarisë së Komisionit Qendror t</w:t>
      </w:r>
      <w:r w:rsidR="00E8048C">
        <w:t>ë</w:t>
      </w:r>
      <w:r>
        <w:t xml:space="preserve"> Zgjedhjeve për vitin 2024”.</w:t>
      </w:r>
    </w:p>
    <w:p w:rsidR="006E7A36" w:rsidRDefault="006E7A36" w:rsidP="006E7A36">
      <w:r>
        <w:t>Relatorë për shqyrtimin e raportit u caktuan:</w:t>
      </w:r>
    </w:p>
    <w:p w:rsidR="006E7A36" w:rsidRDefault="006E7A36" w:rsidP="006E7A36">
      <w:pPr>
        <w:pStyle w:val="ListParagraph"/>
        <w:numPr>
          <w:ilvl w:val="0"/>
          <w:numId w:val="3"/>
        </w:numPr>
      </w:pPr>
      <w:r w:rsidRPr="005B0E67">
        <w:rPr>
          <w:b/>
          <w:bCs/>
        </w:rPr>
        <w:t>Z. Damian Gjiknuri</w:t>
      </w:r>
      <w:r>
        <w:t xml:space="preserve">, nga Komisioni për </w:t>
      </w:r>
      <w:r w:rsidRPr="005B0E67">
        <w:t>Ç</w:t>
      </w:r>
      <w:r>
        <w:t>ë</w:t>
      </w:r>
      <w:r w:rsidRPr="005B0E67">
        <w:t>shtjet Ligjore dhe Administrat</w:t>
      </w:r>
      <w:r>
        <w:t>ë</w:t>
      </w:r>
      <w:r w:rsidRPr="005B0E67">
        <w:t>s Publike</w:t>
      </w:r>
      <w:r>
        <w:t>;</w:t>
      </w:r>
    </w:p>
    <w:p w:rsidR="006E7A36" w:rsidRPr="008B6EF5" w:rsidRDefault="006E7A36" w:rsidP="005B0E67">
      <w:pPr>
        <w:pStyle w:val="ListParagraph"/>
        <w:numPr>
          <w:ilvl w:val="0"/>
          <w:numId w:val="3"/>
        </w:numPr>
      </w:pPr>
      <w:r w:rsidRPr="005B0E67">
        <w:rPr>
          <w:b/>
          <w:bCs/>
        </w:rPr>
        <w:t>Znj.</w:t>
      </w:r>
      <w:r>
        <w:rPr>
          <w:b/>
          <w:bCs/>
        </w:rPr>
        <w:t xml:space="preserve"> </w:t>
      </w:r>
      <w:r w:rsidRPr="005B0E67">
        <w:rPr>
          <w:b/>
          <w:bCs/>
        </w:rPr>
        <w:t>Aulona Bylykbashi</w:t>
      </w:r>
      <w:r>
        <w:t>, nga Komisioni për Nismat Qytetare, Bashkëpunimin dhe Mbikëqyrjen Institucionale.</w:t>
      </w:r>
    </w:p>
    <w:p w:rsidR="006E7A36" w:rsidRDefault="006E7A36" w:rsidP="005B0E67">
      <w:pPr>
        <w:rPr>
          <w:b/>
          <w:bCs/>
        </w:rPr>
      </w:pPr>
    </w:p>
    <w:p w:rsidR="005B0E67" w:rsidRPr="005B0E67" w:rsidRDefault="005B0E67" w:rsidP="005B0E67">
      <w:pPr>
        <w:rPr>
          <w:b/>
          <w:bCs/>
        </w:rPr>
      </w:pPr>
      <w:r w:rsidRPr="005B0E67">
        <w:rPr>
          <w:b/>
          <w:bCs/>
        </w:rPr>
        <w:t>II. BAZA LIGJORE</w:t>
      </w:r>
    </w:p>
    <w:p w:rsidR="005B0E67" w:rsidRDefault="005B0E67" w:rsidP="005B0E67">
      <w:r w:rsidRPr="00EC0934">
        <w:t xml:space="preserve">Komisioni Qendror </w:t>
      </w:r>
      <w:r>
        <w:t>i</w:t>
      </w:r>
      <w:r w:rsidRPr="00EC0934">
        <w:t xml:space="preserve"> Zgjedhjeve, në zbatim të nenit 103 të Rregullores së Kuvendit të Shqipërisë, në zbatim të nenit 19, pika 1 g</w:t>
      </w:r>
      <w:r>
        <w:t>ë</w:t>
      </w:r>
      <w:r w:rsidRPr="00EC0934">
        <w:t>rma “ll” të Kodit Zgjedhor, dhe të Vendimit nr. 134/2018, “Për miratimin e manualit të monitorimit vjetor dhe periodik”, të Kuvendit të Shqipërisë, ka depozituar raportin vjetor për veprimtarinë e vitit 2024.</w:t>
      </w:r>
      <w:r>
        <w:t xml:space="preserve"> </w:t>
      </w:r>
      <w:r w:rsidRPr="00EC0934">
        <w:t>Raporti</w:t>
      </w:r>
      <w:r>
        <w:t xml:space="preserve"> vjetor </w:t>
      </w:r>
      <w:r w:rsidRPr="00EC0934">
        <w:t>bazohet në analizën e veprimtarisë institucionale për vitin 2024 të Komisionit Qendror të Zgjedhjev</w:t>
      </w:r>
      <w:r>
        <w:t>e</w:t>
      </w:r>
      <w:r w:rsidRPr="00EC0934">
        <w:t xml:space="preserve">. </w:t>
      </w:r>
    </w:p>
    <w:p w:rsidR="006E7A36" w:rsidRDefault="005B0E67" w:rsidP="00BA6961">
      <w:r>
        <w:lastRenderedPageBreak/>
        <w:t xml:space="preserve">Veprimtaria e KQZ-së rregullohet nga dispozitat e </w:t>
      </w:r>
      <w:r w:rsidRPr="00EC0934">
        <w:t xml:space="preserve">Ligjit nr. 10019, datë 29.12.2008, </w:t>
      </w:r>
      <w:r>
        <w:t>“</w:t>
      </w:r>
      <w:r w:rsidRPr="00EC0934">
        <w:t>Kodi Zgjedhor</w:t>
      </w:r>
      <w:r>
        <w:t>”,</w:t>
      </w:r>
      <w:r w:rsidR="006E7A36">
        <w:t xml:space="preserve"> </w:t>
      </w:r>
      <w:r w:rsidR="006E7A36" w:rsidRPr="00EC0934">
        <w:t>i ndryshuar</w:t>
      </w:r>
      <w:r w:rsidR="006E7A36">
        <w:t>,</w:t>
      </w:r>
      <w:r>
        <w:t xml:space="preserve"> </w:t>
      </w:r>
      <w:r w:rsidRPr="00EC0934">
        <w:t xml:space="preserve">aktet nënligjore të nxjerra në zbatim të tij, si dhe të Ligjit nr. 44/2015 “Kodi i Procedurave Administrative i Republikës së Shqipërisë”. </w:t>
      </w:r>
    </w:p>
    <w:p w:rsidR="006E7A36" w:rsidRPr="006E7A36" w:rsidRDefault="006E7A36" w:rsidP="00BA6961"/>
    <w:p w:rsidR="005B0E67" w:rsidRDefault="005B0E67" w:rsidP="00BA6961">
      <w:pPr>
        <w:rPr>
          <w:b/>
          <w:bCs/>
        </w:rPr>
      </w:pPr>
      <w:r w:rsidRPr="005B0E67">
        <w:rPr>
          <w:b/>
          <w:bCs/>
        </w:rPr>
        <w:t>III. DISKUTIMI NË KOMISIONE</w:t>
      </w:r>
    </w:p>
    <w:p w:rsidR="008B6EF5" w:rsidRPr="006E7A36" w:rsidRDefault="006E7A36" w:rsidP="00BA6961">
      <w:pPr>
        <w:rPr>
          <w:b/>
          <w:bCs/>
          <w:u w:val="single"/>
        </w:rPr>
      </w:pPr>
      <w:r w:rsidRPr="006E7A36">
        <w:rPr>
          <w:b/>
          <w:bCs/>
          <w:u w:val="single"/>
        </w:rPr>
        <w:t>S</w:t>
      </w:r>
      <w:r w:rsidR="008B6EF5" w:rsidRPr="006E7A36">
        <w:rPr>
          <w:b/>
          <w:bCs/>
          <w:u w:val="single"/>
        </w:rPr>
        <w:t>eanca dëgjimore</w:t>
      </w:r>
      <w:r w:rsidRPr="006E7A36">
        <w:rPr>
          <w:b/>
          <w:bCs/>
          <w:u w:val="single"/>
        </w:rPr>
        <w:t>, 7 tetor 2025</w:t>
      </w:r>
    </w:p>
    <w:p w:rsidR="006E7A36" w:rsidRPr="008B6EF5" w:rsidRDefault="006E7A36" w:rsidP="00BA6961">
      <w:pPr>
        <w:rPr>
          <w:b/>
          <w:bCs/>
          <w:i/>
          <w:iCs/>
        </w:rPr>
      </w:pPr>
      <w:r w:rsidRPr="008B6EF5">
        <w:rPr>
          <w:b/>
          <w:bCs/>
          <w:i/>
          <w:iCs/>
        </w:rPr>
        <w:t>Prezantimi i raportit</w:t>
      </w:r>
    </w:p>
    <w:p w:rsidR="008B6EF5" w:rsidRDefault="008B6EF5" w:rsidP="008B6EF5">
      <w:r>
        <w:t>Në mbledhjen e datës 7 tetor 2025 ishte i pranishëm Komisioneri Shtet</w:t>
      </w:r>
      <w:r w:rsidR="00E8048C">
        <w:t>ë</w:t>
      </w:r>
      <w:r>
        <w:t xml:space="preserve">ror i Zgjedhjeve Z. </w:t>
      </w:r>
      <w:r w:rsidRPr="005B0E67">
        <w:t>Ilirjan Celibashi</w:t>
      </w:r>
      <w:r>
        <w:t>, i shoqëruar nga stafi mbështetës i institucionit.</w:t>
      </w:r>
    </w:p>
    <w:p w:rsidR="00BA6961" w:rsidRPr="00BA6961" w:rsidRDefault="00BA6961" w:rsidP="00BA6961">
      <w:r w:rsidRPr="00BA6961">
        <w:t>Gjatë prezantimit të raportit vjetor, Komisioneri evidentoi se gjatë vitit 2024 institucioni është angazhuar në disa drejtime kryesore që lidhen me përgatitjen e proceseve zgjedhore. Konkretisht, janë ndërmarrë veprime për përgatitjet e zgjedhjeve parlamentare të vitit 2025, si dhe për organizimin dhe administrimin e zgjedhjeve të pjesshme për Bashkinë Himarë në vitin 2024. Një arritje e rëndësishme është krijimi i një platforme të re elektronike për raportimin e veprimtarive publike të institucioneve gjatë fushatës zgjedhore, si dhe përgatitja e infrastrukturës teknologjike që do të mundësojë votimin elektronik në zgjedhjet e ardhshme parlamentare. Gjithashtu, është përmirësuar kuadri procedural që rregullon procesin e votimit nga jashtë vendit, me synimin për të garantuar pjesëmarrje më të gjerë dhe standarde më të larta transparence.</w:t>
      </w:r>
    </w:p>
    <w:p w:rsidR="00D00225" w:rsidRPr="00BA6961" w:rsidRDefault="00B77561" w:rsidP="005B0E67">
      <w:pPr>
        <w:rPr>
          <w:b/>
          <w:bCs/>
          <w:i/>
          <w:iCs/>
        </w:rPr>
      </w:pPr>
      <w:r w:rsidRPr="00BA6961">
        <w:rPr>
          <w:b/>
          <w:bCs/>
          <w:i/>
          <w:iCs/>
        </w:rPr>
        <w:t>Relatimi i raportit</w:t>
      </w:r>
    </w:p>
    <w:p w:rsidR="00B77561" w:rsidRPr="00BA6961" w:rsidRDefault="00B77561" w:rsidP="00BA6961">
      <w:r w:rsidRPr="00BA6961">
        <w:t>Z. Gjiknuri theksoi se raportet ndërkombëtare të monitorimit të zgjedhjeve kanë vlerësuar se administrata zgjedhore ka organizuar zgjedhje të mirëpërgatitura, transparente dhe gjithëpërfshirëse.</w:t>
      </w:r>
      <w:r w:rsidR="00BA6961" w:rsidRPr="00BA6961">
        <w:t xml:space="preserve"> Vlerësoi përgatitjen e infrastrukturës zgjedhore për zgjedhjet e vitit 2025, veçanërisht në funksion të mundësimit të votimit për herë të parë nga diaspora. </w:t>
      </w:r>
    </w:p>
    <w:p w:rsidR="00BA6961" w:rsidRPr="00BA6961" w:rsidRDefault="00BA6961" w:rsidP="00BA6961">
      <w:r w:rsidRPr="00BA6961">
        <w:t>Sa i përket zbatimit të rekomandimeve, u theksua se Komisioni Qendror i Zgjedhjeve duhet të ketë parasysh përmirësimin e formatit të raportimit, në mënyrë që të sigurohet qartësi dhe krahasueshmëri më e madhe e të dhënave ndër vite.</w:t>
      </w:r>
    </w:p>
    <w:p w:rsidR="00BA6961" w:rsidRPr="00BA6961" w:rsidRDefault="00BA6961" w:rsidP="00BA6961">
      <w:r w:rsidRPr="00BA6961">
        <w:t>U vlerësua bashkëpunimi ndërinstitucional ndërmjet KQZ-së dhe Kuvendit në hartimin e akteve të nevojshme për zhvillimin e procesit zgjedhor, si dhe roli i KAS-it dhe Komisionerit Shtetëror të Zgjedhjeve në trajtimin e ankesave, që dëshmon akses të plotë të palëve në proces.</w:t>
      </w:r>
    </w:p>
    <w:p w:rsidR="00BA6961" w:rsidRPr="00BA6961" w:rsidRDefault="00BA6961" w:rsidP="00BA6961">
      <w:r w:rsidRPr="00BA6961">
        <w:t>Një çështje që mbetet sfiduese është auditimi financiar i partive politike, i cili kërkon mekanizma më efektivë transparence dhe kontrolli. Kjo mund të adresohet në kuadër të një komisioni të ardhshëm të reformës zgjedhore.</w:t>
      </w:r>
    </w:p>
    <w:p w:rsidR="00BA6961" w:rsidRPr="00BA6961" w:rsidRDefault="00BA6961" w:rsidP="00BA6961">
      <w:r w:rsidRPr="00BA6961">
        <w:t>Nga ana tjetër, KQZ ka përmbushur rekomandimet që lidhen me edukimin zgjedhor të qytetarëve, si dhe me përdorimin e teknologjisë për të garantuar fshehtësinë e votës dhe integritetin e procesit.</w:t>
      </w:r>
    </w:p>
    <w:p w:rsidR="00BA6961" w:rsidRDefault="00BA6961" w:rsidP="00BA6961">
      <w:r w:rsidRPr="00BA6961">
        <w:t>Në lidhje me qëndrueshmërinë e administratës zgjedhore, u theksua nevoja për depolitizimin e saj, si një element thelbësor për rritjen e besueshmërisë publike. Po ashtu, u nënvizua domosdoshmëria për të garantuar aksesueshmërinë në procesin zgjedhor për personat me aftësi të kufizuara, si detyrë e përbashkët e KQZ-së dhe e Kuvendit.</w:t>
      </w:r>
    </w:p>
    <w:p w:rsidR="008B6EF5" w:rsidRPr="008B6EF5" w:rsidRDefault="008B6EF5" w:rsidP="00BA6961">
      <w:pPr>
        <w:rPr>
          <w:b/>
          <w:bCs/>
          <w:i/>
          <w:iCs/>
        </w:rPr>
      </w:pPr>
      <w:r w:rsidRPr="008B6EF5">
        <w:rPr>
          <w:b/>
          <w:bCs/>
          <w:i/>
          <w:iCs/>
        </w:rPr>
        <w:lastRenderedPageBreak/>
        <w:t>Diskutime</w:t>
      </w:r>
    </w:p>
    <w:p w:rsidR="00146500" w:rsidRDefault="00146500" w:rsidP="00146500">
      <w:pPr>
        <w:pStyle w:val="NormalWeb"/>
        <w:rPr>
          <w:color w:val="000000"/>
        </w:rPr>
      </w:pPr>
      <w:r>
        <w:rPr>
          <w:color w:val="000000"/>
        </w:rPr>
        <w:t>Z. Bylykbashi u shpreh se, sipas raporteve ndërkombëtare, zgjedhjet në Shqipëri vijojnë të jenë të politizuara dhe se administrata publike shpesh përfshihet në procesin zgjedhor. Ai kërkoi të dihet se çfarë masash ka marrë KQZ për të parandaluar këtë fenomen.</w:t>
      </w:r>
    </w:p>
    <w:p w:rsidR="00146500" w:rsidRDefault="00146500" w:rsidP="00146500">
      <w:pPr>
        <w:pStyle w:val="NormalWeb"/>
        <w:rPr>
          <w:color w:val="000000"/>
        </w:rPr>
      </w:pPr>
      <w:r>
        <w:rPr>
          <w:color w:val="000000"/>
        </w:rPr>
        <w:t>Duke iu referuar ndikimit të krimit të organizuar në zgjedhje, Z. Bylykbashi pyeti se cilat masa janë marrë, në bashkëpunim me prokuroritë, për forcimin e ndjekjes penale të rasteve të krimit zgjedhor dhe sa operatorë janë ndaluar në vitin 2023 për votim në emër të zgjedhësve.</w:t>
      </w:r>
    </w:p>
    <w:p w:rsidR="00146500" w:rsidRPr="00E1192C" w:rsidRDefault="00146500" w:rsidP="00E1192C">
      <w:r>
        <w:rPr>
          <w:color w:val="000000"/>
        </w:rPr>
        <w:t xml:space="preserve">Ai ngriti shqetësime edhe për problematikat që shfaq teknologjia në procesin e votimit dhe ndikimin e saj te zgjedhësit, si dhe për vështirësitë e konstatuara në votimin me postë. Në përfundim, kërkoi sqarime mbi funksionimin e organeve të KQZ-së, përfshirë Rregullatorin dhe </w:t>
      </w:r>
      <w:r w:rsidRPr="00E1192C">
        <w:t>Kolegjin Zgjedhor.</w:t>
      </w:r>
    </w:p>
    <w:p w:rsidR="00E1192C" w:rsidRDefault="00E1192C" w:rsidP="00E1192C">
      <w:r w:rsidRPr="00E1192C">
        <w:t>Z. Celibashi u shpreh se raporti i ODIHR-it është i qartë dhe vlerëson rolin e KQZ-së në procesin zgjedhor. Ai theksoi se bashkëpunimi me prokuroritë ka qenë i suksesshëm dhe ka kontribuar pozitivisht në zgjedhje. Teknologjia në votim ka eliminuar një gamë të gjerë problemesh lidhur me identifikimin e votuesve, ndërsa votimi nga jashtë konsiderohet një sukses. Sa i përket organizimit dhe funksionimit të KQZ-së, kjo mbetet në dorë të vullnetit të palëve politike.</w:t>
      </w:r>
    </w:p>
    <w:p w:rsidR="00637D0A" w:rsidRDefault="00637D0A" w:rsidP="00637D0A">
      <w:pPr>
        <w:rPr>
          <w:color w:val="000000"/>
        </w:rPr>
      </w:pPr>
      <w:r>
        <w:rPr>
          <w:color w:val="000000"/>
        </w:rPr>
        <w:t xml:space="preserve">Znj. Çaushi pyeti </w:t>
      </w:r>
      <w:r w:rsidR="006E7A36">
        <w:rPr>
          <w:color w:val="000000"/>
        </w:rPr>
        <w:t>pse</w:t>
      </w:r>
      <w:r>
        <w:rPr>
          <w:color w:val="000000"/>
        </w:rPr>
        <w:t xml:space="preserve"> 82 parti politike nuk janë audituar për shkak të adresave të pasakta dhe pse nuk janë ndërmarrë masa për të adresuar këtë situatë. </w:t>
      </w:r>
      <w:r w:rsidRPr="00637D0A">
        <w:t>Kërkoi</w:t>
      </w:r>
      <w:r>
        <w:rPr>
          <w:color w:val="000000"/>
        </w:rPr>
        <w:t xml:space="preserve"> gjithashtu informacion nëse KQZ ka një plan për të hequr nga regjistri partitë që nuk ushtrojnë aktivitet. Z. Celibashi u shpreh se këto pyetje mbeten të hapura, por zgjidhja kërkon ndryshime ligjore dhe nuk mund të adresohen me hapa administrativë.</w:t>
      </w:r>
    </w:p>
    <w:p w:rsidR="00181E96" w:rsidRDefault="00181E96" w:rsidP="00181E96">
      <w:r w:rsidRPr="00181E96">
        <w:t xml:space="preserve">Z. Ndoja pyeti nëse ka ndonjë përfundim për shkeljet që bën administrata në proceset zgjedhore. Gjithashtu, duke qenë se organet ndihmëse të KQZ, si nënkomisioneri dhe komisioni rregullator, u ka mbaruar mandati, pyeti komisionerin nëse këto mund të qëndrojnë në detyrë. Ai gjithashtu pyeti në lidhje me votimin e diasporës, duke theksuar problemet me regjistrimin </w:t>
      </w:r>
      <w:r w:rsidR="006E7A36">
        <w:t>“</w:t>
      </w:r>
      <w:r w:rsidRPr="00181E96">
        <w:t>a është ky problem teknik dhe a garantohen parimet e fshehtësisë së votimit</w:t>
      </w:r>
      <w:r w:rsidR="006E7A36">
        <w:t>”</w:t>
      </w:r>
      <w:r w:rsidRPr="00181E96">
        <w:t>?</w:t>
      </w:r>
    </w:p>
    <w:p w:rsidR="002A234F" w:rsidRPr="002A234F" w:rsidRDefault="002A234F" w:rsidP="002A234F">
      <w:r w:rsidRPr="002A234F">
        <w:t xml:space="preserve">Z. Ndoja pyeti pse, me gjithë përdorimin e teknologjisë, pati vonesa në shpalljen e rezultatit. </w:t>
      </w:r>
      <w:r w:rsidR="006E7A36" w:rsidRPr="002A234F">
        <w:t>G</w:t>
      </w:r>
      <w:r w:rsidRPr="002A234F">
        <w:t>jithashtu pyeti nëse ka pasur probleme me kompanitë postare private, duke theksuar se zarfet nuk kanë arritur gjithmonë destinacionin. Ai kërkoi sqarime mbi mënyrën se si përcaktohet akreditimi i vëzhguesve të huaj në qendrat e votimit dhe nëse aktet që drejtohen Komisionit Rregullator ndjekin një procedurë të saktë.</w:t>
      </w:r>
    </w:p>
    <w:p w:rsidR="005B0E67" w:rsidRDefault="002A234F" w:rsidP="005B0E67">
      <w:r w:rsidRPr="002A234F">
        <w:t>Z. Celibashi theksoi se sjellja e institucioneve publike duhet adresuar në reformën e ardhshme zgjedhore, pasi ligji aktual nuk e përcakton qartë se çfarë është e ndaluar. Sa i përket Komisionit Rregullator, ai miraton aktet nënligjore; u janë dërguar propozime që nuk janë miratuar, dhe këto organe do të qëndrojnë në detyrë derisa të emërohen organet e reja.</w:t>
      </w:r>
      <w:r w:rsidR="008F44B5">
        <w:t xml:space="preserve"> </w:t>
      </w:r>
      <w:r w:rsidR="008F44B5" w:rsidRPr="008F44B5">
        <w:t>Sa i përket regjistrimit të votuesve, vështirësitë janë adresuar, ndërsa për parimin e fshehtësisë së votimit, kjo nuk varet nga KQZ.</w:t>
      </w:r>
    </w:p>
    <w:p w:rsidR="008F44B5" w:rsidRDefault="001F0974" w:rsidP="001F0974">
      <w:r w:rsidRPr="001F0974">
        <w:t xml:space="preserve">Z. Kaso theksoi se problem ishte që rreth 6,000 zgjedhës nuk mundën të votonin, pasi data </w:t>
      </w:r>
      <w:r>
        <w:t>e skadencës së</w:t>
      </w:r>
      <w:r w:rsidRPr="001F0974">
        <w:t xml:space="preserve"> </w:t>
      </w:r>
      <w:r>
        <w:t>kartës së identitetit</w:t>
      </w:r>
      <w:r w:rsidRPr="001F0974">
        <w:t xml:space="preserve"> të tyre ishte para 4 gushtit, duke i pamundësuar pjesëmarrjen në zgjedhjet e Bashkisë Himarë. Ai pyeti nëse janë marrë masa për të rregulluar këtë situatë. Ai </w:t>
      </w:r>
      <w:r w:rsidRPr="001F0974">
        <w:lastRenderedPageBreak/>
        <w:t>shprehu shqetësim edhe për përdorimin e burimeve shtetërore në fushata elektorale, duke pyetur nëse kjo është vënë re gjatë zgjedhjeve të 2024 dhe 2025. Z. Kaso kërkoi informacion mbi bashkëpunimin me organet ligjzbatuese dhe mbi qendrimin e institucionit për shkeljet e kryera nga operatorët apo gjatë proceseve të menaxhuara nga KQZ. Ai pyeti gjithashtu nëse bashkëpunimi brenda KQZ mes tre trupave ka funksionuar si duhet.</w:t>
      </w:r>
    </w:p>
    <w:p w:rsidR="00592074" w:rsidRDefault="00592074" w:rsidP="00592074">
      <w:r w:rsidRPr="00592074">
        <w:t>Z. Celibashi sqaroi se, në lidhje me zgjedhjet e Himarës, KQZ vendosi për përfundimin e mandatit sipas ligjit të dekriminalizimit dhe nuk ka kapërcim të së drejtës së KQZ, pasi vendimi është i ligjshëm. Sa i përket 6,000 votuesve, kjo çështje nuk lidhet me KQZ, por me institucione të tjera, dhe nuk është kompetencë e KQZ. Ai shtoi se lidhur me operatorët, shkeljet që janë konstatuar kanë pasur karakter administrativ.</w:t>
      </w:r>
      <w:r w:rsidR="006E7A36">
        <w:t xml:space="preserve"> </w:t>
      </w:r>
      <w:r w:rsidRPr="00592074">
        <w:t>Z. Celibashi vlerësoi se lidhur me bashkëpunimin mes trupave të KQZ, do të ishte më efikase që administrimi të kryhej nga një person i vetëm dhe jo nga tre organe.</w:t>
      </w:r>
    </w:p>
    <w:p w:rsidR="00592074" w:rsidRPr="00592074" w:rsidRDefault="00592074" w:rsidP="00592074">
      <w:r w:rsidRPr="00592074">
        <w:t xml:space="preserve">Znj. Bylykbashi pyeti </w:t>
      </w:r>
      <w:r w:rsidR="006E7A36">
        <w:t>mbi</w:t>
      </w:r>
      <w:r w:rsidRPr="00592074">
        <w:t xml:space="preserve"> veprimtari</w:t>
      </w:r>
      <w:r w:rsidR="006E7A36">
        <w:t>të</w:t>
      </w:r>
      <w:r w:rsidRPr="00592074">
        <w:t xml:space="preserve"> të ndaluara, </w:t>
      </w:r>
      <w:r w:rsidR="006E7A36">
        <w:t xml:space="preserve">sqaroi se </w:t>
      </w:r>
      <w:r w:rsidRPr="00592074">
        <w:t xml:space="preserve">ka pasur reagime dhe denoncime, por gjithashtu paqartësi, dhe nëse mund të miratohet një akt që ta përcaktojë qartë termin. Ajo pyeti gjithashtu në lidhje me sistemin elektronik të votimit, nëse ka planifikim për të ndryshuar mënyrën e votimit. </w:t>
      </w:r>
    </w:p>
    <w:p w:rsidR="00592074" w:rsidRPr="0083639E" w:rsidRDefault="00592074" w:rsidP="0083639E">
      <w:r w:rsidRPr="00592074">
        <w:t>Z. Celibashi vuri në dukje se duhet një përkufizim i qartë dhe i plotë për veprimtaritë e funksionarëve publikë, dhe sa i përket votimit, mendon se numërimi duhet të bëhet në qendrat e votimit, duke mbështetur gjithashtu zgjerimin e numërimit elektronik.</w:t>
      </w:r>
    </w:p>
    <w:p w:rsidR="00592074" w:rsidRPr="00A73976" w:rsidRDefault="0083639E" w:rsidP="00A73976">
      <w:r w:rsidRPr="0083639E">
        <w:t xml:space="preserve">Z. Blushi diskutoi se një pjesë e raportit i referohet përgatitjeve për zgjedhjet e 11 majit dhe shprehu interes për vëzhguesit e paraqitur me badge. Ai pyeti pse KQZ po zbaton dekretin e Presidentit për zgjedhjet aktuale, ndërkohë që në vitin 2019 kjo nuk ndodhi. Duke iu referuar pjesëmarrjes së KQZ në taskforcën me SPAK dhe Prokurorinë e Përgjithshme, ai vuri në dukje mungesën e rezultateve konkrete, pasi nuk janë evidentuar apo denoncuar krime zgjedhore, dhe kërkoi të dijë çfarë masash janë marrë si pjesë e kësaj taskforce. Gjithashtu, ai theksoi se KQZ nuk ka dhënë një mendim për kutitë e pavlefshme të denoncuara nga opozita dhe pyeti nëse institucioni </w:t>
      </w:r>
      <w:r w:rsidRPr="00A73976">
        <w:t>ka dijeni mbi këtë çështje.</w:t>
      </w:r>
    </w:p>
    <w:p w:rsidR="001538DF" w:rsidRDefault="00A73976" w:rsidP="001538DF">
      <w:r w:rsidRPr="00A73976">
        <w:t>Z. Celibashi sqaroi se, sipas vëzhguesve ndërkombëtarë, nuk janë konstatuar problematika që lidhen me veprimtarinë e KQZ. Ai theksoi se KQZ nuk disponon listat e personave jashtë institucionit që janë pajisur me badge, pasi për këtë çështje janë në zhvillim hetime penale. Sa i përket kutive të votimit, ai bëri me dije se ato i janë dhënë një projekti të Këshillit të Europës për qëllime simulimi të procesit.</w:t>
      </w:r>
    </w:p>
    <w:p w:rsidR="001538DF" w:rsidRDefault="001538DF" w:rsidP="001538DF">
      <w:r>
        <w:t>Z. Strazimiri pyeti se sa herë ka dështuar regjistrimi i votuesve të diasporës dhe pse mungojnë rreth 60 mijë vota të personave të regjistruar. Ai theksoi se kompania DHL nuk ka respektuar kontratën, duke rezultuar në humbjen e rreth 16% të votave, ndërkohë që ka pasur kuti votimi me rreth 94% vota për Partinë Socialiste, çka sipas tij duhej hetuar.</w:t>
      </w:r>
    </w:p>
    <w:p w:rsidR="00F33E8C" w:rsidRDefault="001538DF" w:rsidP="001538DF">
      <w:r>
        <w:t>Z. Celibashi sqaroi se rastet me probleme kanë qenë të kufizuara, me 2 deri në 4 tentativa të pasuksesshme për regjistrim</w:t>
      </w:r>
      <w:r w:rsidR="00F807F8">
        <w:t xml:space="preserve"> (mesatarja 1.2 herë)</w:t>
      </w:r>
      <w:r>
        <w:t>. Sipas tij, rreth 22 mijë persona nuk kanë votuar, por pjesëmarrja mbetet e lartë në krahasim me vende të tjera. Ai shtoi se disa fletë votimi janë kthyer në KQZ sepse votuesit nuk i kanë marrë, dhe se ka edhe kuti votimi me përqindje më të lartë votash për Partinë Demokratike, pasi rezultatet ndryshojnë sipas kutive.</w:t>
      </w:r>
    </w:p>
    <w:p w:rsidR="00B03F55" w:rsidRDefault="00B03F55" w:rsidP="00B03F55">
      <w:r>
        <w:lastRenderedPageBreak/>
        <w:t>Z. Komici pyeti në lidhje me partitë e paaudituara dhe nëse ka ndonjë propozim konkret për të adresuar këtë fenomen negativ. Z. Celibashi u përgjigj se ekziston një sërë modelesh që mund të merren në konsideratë, si p.sh. ri-regjistrimi i partive që nuk marrin pjesë në zgjedhje, por kjo kërkon ndërhyrje ligjore.</w:t>
      </w:r>
    </w:p>
    <w:p w:rsidR="00B03F55" w:rsidRDefault="00B03F55" w:rsidP="00B03F55">
      <w:r>
        <w:t>Z. Xhafa pyeti se, bazuar në raport, çfarë duhet të marrë në konsideratë Kuvendi në seancat dëgjimore dhe në hartimin e rezolutës për të rritur efektivitetin e punës. Z. Celibashi theksoi se do të nevojitet një formë më e përcaktuar raportimi që t’i shërbejë më efektivisht seancës, duke shtuar se seancat dëgjimore janë më produktive se ato parlamentare, pasi janë më teknike dhe të organizuara.</w:t>
      </w:r>
    </w:p>
    <w:p w:rsidR="001538DF" w:rsidRDefault="00B03F55" w:rsidP="00B03F55">
      <w:r>
        <w:t>Z. Manja vuri në dukje se Kuvendi do të standardizojë procesin e raportimit të institucioneve të pavarura, si pjesë e detyrimeve të tij ligjore. Ai shtoi se ka çështje që kërkojnë rregullim, përfshirë Kodin Zgjedhor, administratën zgjedhore, pjesëmarrjen e personave me aftësi të kufizuara dhe funksionimin e partive politike. KQZ zbaton Kodin Zgjedhor, ndërsa Kuvendit i takon të iniciojë ndryshimet përkatëse.</w:t>
      </w:r>
    </w:p>
    <w:p w:rsidR="00F807F8" w:rsidRPr="006E7A36" w:rsidRDefault="008B6EF5" w:rsidP="001538DF">
      <w:pPr>
        <w:rPr>
          <w:b/>
          <w:bCs/>
          <w:u w:val="single"/>
        </w:rPr>
      </w:pPr>
      <w:r w:rsidRPr="006E7A36">
        <w:rPr>
          <w:b/>
          <w:bCs/>
          <w:u w:val="single"/>
        </w:rPr>
        <w:t>Miratimi i rezolutës 10 tetor 2025</w:t>
      </w:r>
    </w:p>
    <w:p w:rsidR="00E8048C" w:rsidRDefault="00E8048C" w:rsidP="001538DF">
      <w:r w:rsidRPr="00E8048C">
        <w:t xml:space="preserve">Z. Gjiknuri prezantoi rekomandimet e përfshira në projekt-rezolutën e hartuar (bashkëlidhur). </w:t>
      </w:r>
    </w:p>
    <w:p w:rsidR="00E8048C" w:rsidRDefault="00E8048C" w:rsidP="001538DF">
      <w:r w:rsidRPr="00E8048C">
        <w:t>Z. Gjoni sugjeroi që në dokument të përfshihen rekomandime shtesë mbi monitorimin e zgjedhjeve, me qëllim pasqyrimin sa më të plotë të procesit zgjedhor</w:t>
      </w:r>
      <w:r>
        <w:t xml:space="preserve"> (</w:t>
      </w:r>
      <w:r w:rsidRPr="00E8048C">
        <w:t>përfshirë</w:t>
      </w:r>
      <w:r>
        <w:t xml:space="preserve"> në rekomandimin mbi teknologjinë)</w:t>
      </w:r>
      <w:r w:rsidRPr="00E8048C">
        <w:t>.</w:t>
      </w:r>
      <w:r>
        <w:t xml:space="preserve"> </w:t>
      </w:r>
    </w:p>
    <w:p w:rsidR="005B0E67" w:rsidRDefault="00E8048C" w:rsidP="005B0E67">
      <w:r>
        <w:t>Z. Bylykbashi rekomandon që KQZ të ketë rol më aktiv, për shkeljet e evidentuara gjatë procesit zgjedhor</w:t>
      </w:r>
      <w:r w:rsidR="00953669">
        <w:t xml:space="preserve"> dhe thekson rëndësinë e një auditimi të pavarur.</w:t>
      </w:r>
    </w:p>
    <w:p w:rsidR="006E7A36" w:rsidRDefault="00953669" w:rsidP="005B0E67">
      <w:r>
        <w:t>Z. Strazimiri rekomandon që rezoluta të reflektojë problematikat në procesin zgjedhor.</w:t>
      </w:r>
    </w:p>
    <w:p w:rsidR="005B0E67" w:rsidRPr="00953669" w:rsidRDefault="005B0E67" w:rsidP="005B0E67">
      <w:pPr>
        <w:rPr>
          <w:b/>
          <w:bCs/>
        </w:rPr>
      </w:pPr>
      <w:r w:rsidRPr="00A73976">
        <w:rPr>
          <w:b/>
          <w:bCs/>
        </w:rPr>
        <w:t>IV. PËRFUNDIME</w:t>
      </w:r>
    </w:p>
    <w:p w:rsidR="005B0E67" w:rsidRDefault="005B0E67" w:rsidP="005B0E67">
      <w:r>
        <w:t xml:space="preserve">Në përfundim të shqyrtimit, projektrezoluta u miratua me </w:t>
      </w:r>
      <w:r w:rsidR="00953669">
        <w:t xml:space="preserve">14 </w:t>
      </w:r>
      <w:r>
        <w:t>vota pro të shumicës së anëtarëve të pranishëm në mbledhje</w:t>
      </w:r>
      <w:r w:rsidR="00953669">
        <w:t>, përkundrejt 5 votave kundër</w:t>
      </w:r>
      <w:r>
        <w:t>.</w:t>
      </w:r>
    </w:p>
    <w:p w:rsidR="005B0E67" w:rsidRDefault="008B6EF5" w:rsidP="005B0E67">
      <w:r>
        <w:t>Projektrezoluta</w:t>
      </w:r>
      <w:r w:rsidR="005B0E67">
        <w:t xml:space="preserve"> do t’i paraqitet për miratim seancës plenare të Kuvendit, sipas variantit bashkë</w:t>
      </w:r>
      <w:r w:rsidR="00953669">
        <w:t>lidhur</w:t>
      </w:r>
      <w:r w:rsidR="005B0E67">
        <w:t xml:space="preserve"> këtij raporti.</w:t>
      </w:r>
    </w:p>
    <w:p w:rsidR="005B0E67" w:rsidRDefault="005B0E67" w:rsidP="005B0E6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44B5" w:rsidRPr="008F44B5" w:rsidTr="008F44B5">
        <w:trPr>
          <w:jc w:val="center"/>
        </w:trPr>
        <w:tc>
          <w:tcPr>
            <w:tcW w:w="4675" w:type="dxa"/>
          </w:tcPr>
          <w:p w:rsidR="008F44B5" w:rsidRPr="008F44B5" w:rsidRDefault="008F44B5" w:rsidP="008F44B5">
            <w:pPr>
              <w:jc w:val="center"/>
              <w:rPr>
                <w:b/>
                <w:bCs/>
              </w:rPr>
            </w:pPr>
            <w:r w:rsidRPr="008F44B5">
              <w:rPr>
                <w:b/>
                <w:bCs/>
              </w:rPr>
              <w:t>KRYETAR</w:t>
            </w:r>
          </w:p>
          <w:p w:rsidR="008F44B5" w:rsidRPr="008F44B5" w:rsidRDefault="00E8048C" w:rsidP="006E7A36">
            <w:pPr>
              <w:jc w:val="center"/>
              <w:rPr>
                <w:b/>
                <w:bCs/>
              </w:rPr>
            </w:pPr>
            <w:r>
              <w:rPr>
                <w:b/>
                <w:bCs/>
              </w:rPr>
              <w:t>Ulsi</w:t>
            </w:r>
            <w:r w:rsidR="008F44B5" w:rsidRPr="008F44B5">
              <w:rPr>
                <w:b/>
                <w:bCs/>
              </w:rPr>
              <w:t xml:space="preserve"> </w:t>
            </w:r>
            <w:r>
              <w:rPr>
                <w:b/>
                <w:bCs/>
              </w:rPr>
              <w:t>MANJA</w:t>
            </w:r>
          </w:p>
        </w:tc>
        <w:tc>
          <w:tcPr>
            <w:tcW w:w="4675" w:type="dxa"/>
          </w:tcPr>
          <w:p w:rsidR="008F44B5" w:rsidRPr="008F44B5" w:rsidRDefault="008F44B5" w:rsidP="008F44B5">
            <w:pPr>
              <w:jc w:val="center"/>
              <w:rPr>
                <w:b/>
                <w:bCs/>
              </w:rPr>
            </w:pPr>
            <w:r w:rsidRPr="008F44B5">
              <w:rPr>
                <w:b/>
                <w:bCs/>
              </w:rPr>
              <w:t>KRYETAR</w:t>
            </w:r>
          </w:p>
          <w:p w:rsidR="008F44B5" w:rsidRDefault="008F44B5" w:rsidP="006E7A36">
            <w:pPr>
              <w:jc w:val="center"/>
              <w:rPr>
                <w:b/>
                <w:bCs/>
              </w:rPr>
            </w:pPr>
            <w:r w:rsidRPr="008F44B5">
              <w:rPr>
                <w:b/>
                <w:bCs/>
              </w:rPr>
              <w:t>Fatmir XHAFAJ</w:t>
            </w:r>
          </w:p>
          <w:p w:rsidR="006E7A36" w:rsidRPr="008F44B5" w:rsidRDefault="006E7A36" w:rsidP="006E7A36">
            <w:pPr>
              <w:jc w:val="center"/>
              <w:rPr>
                <w:b/>
                <w:bCs/>
              </w:rPr>
            </w:pPr>
          </w:p>
        </w:tc>
      </w:tr>
      <w:tr w:rsidR="008F44B5" w:rsidRPr="008F44B5" w:rsidTr="008F44B5">
        <w:trPr>
          <w:jc w:val="center"/>
        </w:trPr>
        <w:tc>
          <w:tcPr>
            <w:tcW w:w="4675" w:type="dxa"/>
          </w:tcPr>
          <w:p w:rsidR="008F44B5" w:rsidRPr="008F44B5" w:rsidRDefault="008F44B5" w:rsidP="008F44B5">
            <w:pPr>
              <w:jc w:val="center"/>
              <w:rPr>
                <w:b/>
                <w:bCs/>
              </w:rPr>
            </w:pPr>
            <w:r w:rsidRPr="008F44B5">
              <w:rPr>
                <w:b/>
                <w:bCs/>
              </w:rPr>
              <w:t>RELATORE</w:t>
            </w:r>
          </w:p>
          <w:p w:rsidR="008F44B5" w:rsidRPr="008F44B5" w:rsidRDefault="00E8048C" w:rsidP="006E7A36">
            <w:pPr>
              <w:jc w:val="center"/>
              <w:rPr>
                <w:b/>
                <w:bCs/>
              </w:rPr>
            </w:pPr>
            <w:r>
              <w:rPr>
                <w:b/>
                <w:bCs/>
              </w:rPr>
              <w:t>Damian GJIKNURI</w:t>
            </w:r>
            <w:r w:rsidR="008F44B5" w:rsidRPr="008F44B5">
              <w:rPr>
                <w:b/>
                <w:bCs/>
              </w:rPr>
              <w:t xml:space="preserve"> </w:t>
            </w:r>
          </w:p>
        </w:tc>
        <w:tc>
          <w:tcPr>
            <w:tcW w:w="4675" w:type="dxa"/>
          </w:tcPr>
          <w:p w:rsidR="008F44B5" w:rsidRPr="008F44B5" w:rsidRDefault="008F44B5" w:rsidP="008F44B5">
            <w:pPr>
              <w:jc w:val="center"/>
              <w:rPr>
                <w:b/>
                <w:bCs/>
              </w:rPr>
            </w:pPr>
            <w:r w:rsidRPr="008F44B5">
              <w:rPr>
                <w:b/>
                <w:bCs/>
              </w:rPr>
              <w:t>RELATOR</w:t>
            </w:r>
          </w:p>
          <w:p w:rsidR="008F44B5" w:rsidRPr="008F44B5" w:rsidRDefault="00E8048C" w:rsidP="008F44B5">
            <w:pPr>
              <w:jc w:val="center"/>
              <w:rPr>
                <w:b/>
                <w:bCs/>
              </w:rPr>
            </w:pPr>
            <w:r>
              <w:rPr>
                <w:b/>
                <w:bCs/>
              </w:rPr>
              <w:t>Aulona BYLYKBASHI</w:t>
            </w:r>
          </w:p>
          <w:p w:rsidR="008F44B5" w:rsidRPr="008F44B5" w:rsidRDefault="008F44B5" w:rsidP="005B0E67">
            <w:pPr>
              <w:rPr>
                <w:b/>
                <w:bCs/>
              </w:rPr>
            </w:pPr>
          </w:p>
        </w:tc>
      </w:tr>
    </w:tbl>
    <w:p w:rsidR="00442301" w:rsidRDefault="00442301" w:rsidP="00442301">
      <w:pPr>
        <w:spacing w:after="0" w:line="276" w:lineRule="auto"/>
        <w:jc w:val="center"/>
        <w:rPr>
          <w:b/>
          <w:bCs/>
        </w:rPr>
      </w:pPr>
      <w:r w:rsidRPr="005F30CB">
        <w:rPr>
          <w:rFonts w:eastAsia="Calibri"/>
          <w:noProof/>
        </w:rPr>
        <w:lastRenderedPageBreak/>
        <w:drawing>
          <wp:inline distT="0" distB="0" distL="0" distR="0">
            <wp:extent cx="5730875" cy="850265"/>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850265"/>
                    </a:xfrm>
                    <a:prstGeom prst="rect">
                      <a:avLst/>
                    </a:prstGeom>
                    <a:noFill/>
                    <a:ln>
                      <a:noFill/>
                    </a:ln>
                  </pic:spPr>
                </pic:pic>
              </a:graphicData>
            </a:graphic>
          </wp:inline>
        </w:drawing>
      </w:r>
    </w:p>
    <w:p w:rsidR="00442301" w:rsidRPr="00B1400C" w:rsidRDefault="00442301" w:rsidP="00442301">
      <w:pPr>
        <w:spacing w:after="0" w:line="276" w:lineRule="auto"/>
        <w:jc w:val="center"/>
        <w:rPr>
          <w:b/>
          <w:bCs/>
        </w:rPr>
      </w:pPr>
      <w:r w:rsidRPr="00B1400C">
        <w:rPr>
          <w:b/>
          <w:bCs/>
        </w:rPr>
        <w:t>KUVENDI</w:t>
      </w:r>
    </w:p>
    <w:p w:rsidR="00442301" w:rsidRDefault="00442301" w:rsidP="00442301">
      <w:pPr>
        <w:rPr>
          <w:b/>
          <w:bCs/>
          <w:lang w:val="it-IT"/>
        </w:rPr>
      </w:pPr>
    </w:p>
    <w:p w:rsidR="00442301" w:rsidRPr="000F3DAE" w:rsidRDefault="00442301" w:rsidP="00442301">
      <w:pPr>
        <w:rPr>
          <w:b/>
          <w:bCs/>
          <w:lang w:val="it-IT"/>
        </w:rPr>
      </w:pPr>
      <w:r w:rsidRPr="000F3DAE">
        <w:rPr>
          <w:b/>
          <w:bCs/>
          <w:lang w:val="it-IT"/>
        </w:rPr>
        <w:t>Tirane, më __.__2025</w:t>
      </w:r>
      <w:r w:rsidRPr="000F3DAE">
        <w:rPr>
          <w:b/>
          <w:bCs/>
          <w:lang w:val="it-IT"/>
        </w:rPr>
        <w:tab/>
      </w:r>
      <w:r w:rsidRPr="000F3DAE">
        <w:rPr>
          <w:b/>
          <w:bCs/>
          <w:lang w:val="it-IT"/>
        </w:rPr>
        <w:tab/>
      </w:r>
      <w:r w:rsidRPr="000F3DAE">
        <w:rPr>
          <w:b/>
          <w:bCs/>
          <w:lang w:val="it-IT"/>
        </w:rPr>
        <w:tab/>
      </w:r>
      <w:r w:rsidRPr="000F3DAE">
        <w:rPr>
          <w:b/>
          <w:bCs/>
          <w:lang w:val="it-IT"/>
        </w:rPr>
        <w:tab/>
      </w:r>
      <w:r w:rsidRPr="000F3DAE">
        <w:rPr>
          <w:b/>
          <w:bCs/>
          <w:lang w:val="it-IT"/>
        </w:rPr>
        <w:tab/>
        <w:t xml:space="preserve"> </w:t>
      </w:r>
      <w:r w:rsidRPr="000F3DAE">
        <w:rPr>
          <w:b/>
          <w:bCs/>
          <w:lang w:val="it-IT"/>
        </w:rPr>
        <w:tab/>
        <w:t xml:space="preserve">      Dokument parlamentar</w:t>
      </w:r>
    </w:p>
    <w:p w:rsidR="00442301" w:rsidRPr="000F3DAE" w:rsidRDefault="00442301" w:rsidP="00442301">
      <w:pPr>
        <w:jc w:val="center"/>
        <w:rPr>
          <w:lang w:val="it-IT"/>
        </w:rPr>
      </w:pPr>
    </w:p>
    <w:p w:rsidR="00442301" w:rsidRPr="000F3DAE" w:rsidRDefault="00442301" w:rsidP="00442301">
      <w:pPr>
        <w:jc w:val="center"/>
        <w:rPr>
          <w:b/>
          <w:bCs/>
          <w:lang w:val="it-IT"/>
        </w:rPr>
      </w:pPr>
      <w:r w:rsidRPr="000F3DAE">
        <w:rPr>
          <w:b/>
          <w:bCs/>
          <w:lang w:val="it-IT"/>
        </w:rPr>
        <w:t>PROJEKTREZOLUT</w:t>
      </w:r>
      <w:r>
        <w:rPr>
          <w:b/>
          <w:bCs/>
          <w:lang w:val="it-IT"/>
        </w:rPr>
        <w:t>Ë</w:t>
      </w:r>
    </w:p>
    <w:p w:rsidR="00442301" w:rsidRPr="000F3DAE" w:rsidRDefault="00442301" w:rsidP="00442301">
      <w:pPr>
        <w:jc w:val="center"/>
        <w:rPr>
          <w:b/>
          <w:bCs/>
          <w:lang w:val="it-IT"/>
        </w:rPr>
      </w:pPr>
      <w:r w:rsidRPr="000F3DAE">
        <w:rPr>
          <w:b/>
          <w:bCs/>
          <w:lang w:val="it-IT"/>
        </w:rPr>
        <w:t>PER VLERËSIMIN E VEPRIMTARISË SË KOMISIONIT QENDROR TË ZGJEDHJEVE PËR VITIN 2024</w:t>
      </w:r>
    </w:p>
    <w:p w:rsidR="00442301" w:rsidRPr="000F3DAE" w:rsidRDefault="00442301" w:rsidP="00442301">
      <w:pPr>
        <w:rPr>
          <w:lang w:val="it-IT"/>
        </w:rPr>
      </w:pPr>
    </w:p>
    <w:p w:rsidR="00442301" w:rsidRPr="000F3DAE" w:rsidRDefault="00442301" w:rsidP="00442301">
      <w:pPr>
        <w:rPr>
          <w:lang w:val="it-IT"/>
        </w:rPr>
      </w:pPr>
      <w:r w:rsidRPr="000F3DAE">
        <w:rPr>
          <w:lang w:val="it-IT"/>
        </w:rPr>
        <w:t>Kuvendi i Republikës së Shqipërisë,</w:t>
      </w:r>
    </w:p>
    <w:p w:rsidR="00442301" w:rsidRPr="000F3DAE" w:rsidRDefault="00442301" w:rsidP="00442301">
      <w:pPr>
        <w:rPr>
          <w:lang w:val="it-IT"/>
        </w:rPr>
      </w:pPr>
      <w:r w:rsidRPr="000F3DAE">
        <w:rPr>
          <w:lang w:val="it-IT"/>
        </w:rPr>
        <w:t>Duke njohur përgjegjësinë e Komisionit Qendror të Zgjedhjeve për organizimin dhe administrimin e zgjedhjeve dhe referendumeve, mbikëqyrjen e veprimtarive të administratës zgjedhore, monitorimin e veprimtarisë së subjekteve zgjedhore, institucioneve shtetërore dhe të medias në raport me zgjedhjet, si dhe zgjidhjen në rrugë administrative të kërkesave ose ankesave që kanë lidhje me procesin zgjedhor;</w:t>
      </w:r>
    </w:p>
    <w:p w:rsidR="00442301" w:rsidRPr="000F3DAE" w:rsidRDefault="00442301" w:rsidP="00442301">
      <w:pPr>
        <w:rPr>
          <w:b/>
          <w:bCs/>
          <w:lang w:val="it-IT"/>
        </w:rPr>
      </w:pPr>
      <w:r w:rsidRPr="000F3DAE">
        <w:rPr>
          <w:b/>
          <w:bCs/>
          <w:lang w:val="it-IT"/>
        </w:rPr>
        <w:t>Vlerëson veprimtarinë e KQZ-së lidhur me:</w:t>
      </w:r>
    </w:p>
    <w:p w:rsidR="00442301" w:rsidRPr="000F3DAE" w:rsidRDefault="00442301" w:rsidP="00442301">
      <w:pPr>
        <w:rPr>
          <w:lang w:val="it-IT"/>
        </w:rPr>
      </w:pPr>
      <w:r w:rsidRPr="000F3DAE">
        <w:rPr>
          <w:lang w:val="it-IT"/>
        </w:rPr>
        <w:t>Angazhimin në kuadër të rekomandimit për forcimin e fushatave të ndërgjegjësimit mbi procesin e votimit, veçanërisht për votuesit për herë të parë. Institucioni ka ndërmarrë një sërë iniciativash të strukturuara dhe gjithëpërfshirëse për rritjen e pjesëmarrjes dhe ndërgjegjësimin e të rinjve mbi rëndësinë e votes;</w:t>
      </w:r>
    </w:p>
    <w:p w:rsidR="00442301" w:rsidRPr="000F3DAE" w:rsidRDefault="00442301" w:rsidP="00442301">
      <w:pPr>
        <w:rPr>
          <w:lang w:val="it-IT"/>
        </w:rPr>
      </w:pPr>
      <w:r w:rsidRPr="000F3DAE">
        <w:rPr>
          <w:lang w:val="it-IT"/>
        </w:rPr>
        <w:t xml:space="preserve">Hartimin e programeve </w:t>
      </w:r>
      <w:r>
        <w:rPr>
          <w:lang w:val="it-IT"/>
        </w:rPr>
        <w:t>edukuese</w:t>
      </w:r>
      <w:r w:rsidRPr="000F3DAE">
        <w:rPr>
          <w:lang w:val="it-IT"/>
        </w:rPr>
        <w:t xml:space="preserve"> dhe zgjerimin e këtyre nismave te grupet vulnerabël, si gratë, personat me aftësi të kufizuara dhe pakicat kombëtare, me qëllim, përforcimi e ndërgjegjësimit qytetar për zgjedhjet e ardhshme;</w:t>
      </w:r>
    </w:p>
    <w:p w:rsidR="00442301" w:rsidRPr="000F3DAE" w:rsidRDefault="00442301" w:rsidP="00442301">
      <w:pPr>
        <w:rPr>
          <w:lang w:val="it-IT"/>
        </w:rPr>
      </w:pPr>
      <w:r w:rsidRPr="000F3DAE">
        <w:rPr>
          <w:lang w:val="it-IT"/>
        </w:rPr>
        <w:t xml:space="preserve">Zbatimin e teknologjisë dhe digjitalizimin e procesit zgjedhor. Sistemi Elektronik i Identifikimit të Votuesve (SEIV), verifikimi biometrik dhe transmetimi në kohë reale i të dhënave, kanë siguruar një process transparent. Vendosja e kamerave të sigurisë jashtë kabinave të votimit, zhvillimi i analizave statistikore për verifikimin e rasteve të dyfishta dhe ndërtimi i moduleve teknologjike për menaxhimin e dokumenteve, akreditimin, rekrutimin dhe raportimin online, dëshmojnë një angazhim të qëndrueshëm për modernizimin e administrimit zgjedhor. </w:t>
      </w:r>
    </w:p>
    <w:p w:rsidR="00442301" w:rsidRDefault="00442301" w:rsidP="00442301">
      <w:pPr>
        <w:rPr>
          <w:b/>
          <w:bCs/>
          <w:lang w:val="it-IT"/>
        </w:rPr>
      </w:pPr>
      <w:r w:rsidRPr="000F3DAE">
        <w:rPr>
          <w:b/>
          <w:bCs/>
          <w:lang w:val="it-IT"/>
        </w:rPr>
        <w:t xml:space="preserve">Kuvendi rekomandon që KQZ </w:t>
      </w:r>
      <w:r>
        <w:rPr>
          <w:b/>
          <w:bCs/>
          <w:lang w:val="it-IT"/>
        </w:rPr>
        <w:t xml:space="preserve">në vazhdimësi </w:t>
      </w:r>
      <w:r w:rsidRPr="000F3DAE">
        <w:rPr>
          <w:b/>
          <w:bCs/>
          <w:lang w:val="it-IT"/>
        </w:rPr>
        <w:t>të përmirësojë punën në këto drejtime:</w:t>
      </w:r>
    </w:p>
    <w:p w:rsidR="00442301" w:rsidRPr="001C23E5" w:rsidRDefault="00442301" w:rsidP="00442301">
      <w:pPr>
        <w:rPr>
          <w:lang w:val="it-IT"/>
        </w:rPr>
      </w:pPr>
      <w:r>
        <w:rPr>
          <w:lang w:val="it-IT"/>
        </w:rPr>
        <w:t xml:space="preserve">1. </w:t>
      </w:r>
      <w:r w:rsidRPr="001C23E5">
        <w:rPr>
          <w:lang w:val="it-IT"/>
        </w:rPr>
        <w:t>Të përmirësohet zbatimi i Programit të Transparencës, duke garantuar përmbajtje të plotë dhe përditësim periodik të rubrikave mbi prokurimet publike, konsultimet, rekrutimet dhe dokumentet institucionale.</w:t>
      </w:r>
    </w:p>
    <w:p w:rsidR="00442301" w:rsidRPr="001C23E5" w:rsidRDefault="00442301" w:rsidP="00442301">
      <w:pPr>
        <w:rPr>
          <w:lang w:val="it-IT"/>
        </w:rPr>
      </w:pPr>
      <w:r>
        <w:rPr>
          <w:lang w:val="it-IT"/>
        </w:rPr>
        <w:lastRenderedPageBreak/>
        <w:t xml:space="preserve">2. </w:t>
      </w:r>
      <w:r w:rsidRPr="001C23E5">
        <w:rPr>
          <w:lang w:val="it-IT"/>
        </w:rPr>
        <w:t>Të hartohet dhe miratohet deri në dhjetor 2025 një Strategji për Teknologjinë e Informacionit dhe Komunikimit (ICT), që adreson zhvillimin, mirëmbajtjen dhe sigurinë e sistemeve digjitale të KQZ-së.</w:t>
      </w:r>
    </w:p>
    <w:p w:rsidR="00442301" w:rsidRPr="001C23E5" w:rsidRDefault="00442301" w:rsidP="00442301">
      <w:pPr>
        <w:rPr>
          <w:lang w:val="it-IT"/>
        </w:rPr>
      </w:pPr>
      <w:r>
        <w:rPr>
          <w:lang w:val="it-IT"/>
        </w:rPr>
        <w:t xml:space="preserve">3. </w:t>
      </w:r>
      <w:r w:rsidRPr="001C23E5">
        <w:rPr>
          <w:lang w:val="it-IT"/>
        </w:rPr>
        <w:t xml:space="preserve">Të rishikohet struktura dhe përmbajtja e raportit vjetor të KQZ-së, sipas Manualit të Monitorimit Vjetor dhe Periodik të Kuvendit. </w:t>
      </w:r>
    </w:p>
    <w:p w:rsidR="00442301" w:rsidRPr="001C23E5" w:rsidRDefault="00442301" w:rsidP="00442301">
      <w:pPr>
        <w:rPr>
          <w:lang w:val="it-IT"/>
        </w:rPr>
      </w:pPr>
      <w:r>
        <w:rPr>
          <w:lang w:val="it-IT"/>
        </w:rPr>
        <w:t xml:space="preserve">4. </w:t>
      </w:r>
      <w:r w:rsidRPr="001C23E5">
        <w:rPr>
          <w:lang w:val="it-IT"/>
        </w:rPr>
        <w:t xml:space="preserve">Të përfshihet në raportimin për vitin 2025, një raport i detajuar mbi zgjedhjet e 11 majit 2025, duke analizuar procesin e votimit dhe identifikimit elektronik, si dhe performancën teknike dhe funksionale të infrastrukturës së përdorur. </w:t>
      </w:r>
    </w:p>
    <w:p w:rsidR="00442301" w:rsidRPr="001C23E5" w:rsidRDefault="00442301" w:rsidP="00442301">
      <w:pPr>
        <w:rPr>
          <w:lang w:val="it-IT"/>
        </w:rPr>
      </w:pPr>
      <w:r>
        <w:rPr>
          <w:lang w:val="it-IT"/>
        </w:rPr>
        <w:t xml:space="preserve">5. </w:t>
      </w:r>
      <w:r w:rsidRPr="001C23E5">
        <w:rPr>
          <w:lang w:val="it-IT"/>
        </w:rPr>
        <w:t>Të ndërmerren masa për funksionalizimin e mekanizmit të auditimit të financave, me regjistër të përditësuar, planifikim të audituesve dhe kontroll efektiv.</w:t>
      </w:r>
    </w:p>
    <w:p w:rsidR="00442301" w:rsidRPr="001C23E5" w:rsidRDefault="00442301" w:rsidP="00442301">
      <w:pPr>
        <w:rPr>
          <w:lang w:val="it-IT"/>
        </w:rPr>
      </w:pPr>
      <w:r>
        <w:rPr>
          <w:lang w:val="it-IT"/>
        </w:rPr>
        <w:t xml:space="preserve">6. </w:t>
      </w:r>
      <w:r w:rsidRPr="001C23E5">
        <w:rPr>
          <w:lang w:val="it-IT"/>
        </w:rPr>
        <w:t>Të qartësohen me akte nënligjore kategoritë e veprimtarive publike gjatë fushatës zgjedhore, duke përcaktuar qartë cilat janë të ndaluara dhe cilat përjashtohen.</w:t>
      </w:r>
    </w:p>
    <w:p w:rsidR="00442301" w:rsidRPr="001C23E5" w:rsidRDefault="00442301" w:rsidP="00442301">
      <w:pPr>
        <w:rPr>
          <w:lang w:val="it-IT"/>
        </w:rPr>
      </w:pPr>
      <w:r>
        <w:rPr>
          <w:lang w:val="it-IT"/>
        </w:rPr>
        <w:t xml:space="preserve">7. </w:t>
      </w:r>
      <w:r w:rsidRPr="001C23E5">
        <w:rPr>
          <w:lang w:val="it-IT"/>
        </w:rPr>
        <w:t>Të garantohet akses i pavarur për PAK në procesin zgjedhor, përmes verifikimit të qendrave të votimit dhe hartimit të një plani për përshtatjen graduale të infrastrukturës në bashkëpunim me njësitë e qeverisjes vendore për proceset zgjedhore në vazhdim.</w:t>
      </w:r>
    </w:p>
    <w:p w:rsidR="00442301" w:rsidRPr="001C23E5" w:rsidRDefault="00442301" w:rsidP="00442301">
      <w:pPr>
        <w:rPr>
          <w:lang w:val="it-IT"/>
        </w:rPr>
      </w:pPr>
      <w:r>
        <w:rPr>
          <w:lang w:val="it-IT"/>
        </w:rPr>
        <w:t xml:space="preserve">8. </w:t>
      </w:r>
      <w:r w:rsidRPr="001C23E5">
        <w:rPr>
          <w:lang w:val="it-IT"/>
        </w:rPr>
        <w:t>Të zgjerohen objektivat e dhe grupet e synuara të programeve edukuese, duke përfshirë administratën publike, arsimin, punonjësit social dhe mediat vendore, me module trajnimi mbi neutralitetin dhe parandalimin e shkeljeve gjatë fushatës zgjedhore.</w:t>
      </w:r>
    </w:p>
    <w:p w:rsidR="00442301" w:rsidRPr="001C23E5" w:rsidRDefault="00442301" w:rsidP="00442301">
      <w:pPr>
        <w:rPr>
          <w:lang w:val="it-IT"/>
        </w:rPr>
      </w:pPr>
    </w:p>
    <w:p w:rsidR="00442301" w:rsidRDefault="00442301" w:rsidP="00442301">
      <w:pPr>
        <w:rPr>
          <w:b/>
          <w:bCs/>
          <w:lang w:val="it-IT"/>
        </w:rPr>
      </w:pPr>
    </w:p>
    <w:p w:rsidR="00E72FF3" w:rsidRDefault="00E72FF3" w:rsidP="005B0E67"/>
    <w:sectPr w:rsidR="00E72FF3" w:rsidSect="00322230">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C46E7"/>
    <w:multiLevelType w:val="multilevel"/>
    <w:tmpl w:val="7BCC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96A92"/>
    <w:multiLevelType w:val="hybridMultilevel"/>
    <w:tmpl w:val="822EAF96"/>
    <w:lvl w:ilvl="0" w:tplc="1972900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47E9D"/>
    <w:multiLevelType w:val="hybridMultilevel"/>
    <w:tmpl w:val="AF6C31C6"/>
    <w:lvl w:ilvl="0" w:tplc="19729008">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136215A"/>
    <w:multiLevelType w:val="hybridMultilevel"/>
    <w:tmpl w:val="861EA3CC"/>
    <w:lvl w:ilvl="0" w:tplc="1972900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53D69"/>
    <w:multiLevelType w:val="multilevel"/>
    <w:tmpl w:val="2612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1C2E06"/>
    <w:multiLevelType w:val="hybridMultilevel"/>
    <w:tmpl w:val="065A2C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67"/>
    <w:rsid w:val="000C1E37"/>
    <w:rsid w:val="00146500"/>
    <w:rsid w:val="001538DF"/>
    <w:rsid w:val="00181E96"/>
    <w:rsid w:val="001B141E"/>
    <w:rsid w:val="001F0974"/>
    <w:rsid w:val="002A234F"/>
    <w:rsid w:val="00322230"/>
    <w:rsid w:val="00442301"/>
    <w:rsid w:val="00511F7A"/>
    <w:rsid w:val="005858DC"/>
    <w:rsid w:val="00592074"/>
    <w:rsid w:val="005B0E67"/>
    <w:rsid w:val="005C505A"/>
    <w:rsid w:val="006350E4"/>
    <w:rsid w:val="00637D0A"/>
    <w:rsid w:val="006E7A36"/>
    <w:rsid w:val="0083639E"/>
    <w:rsid w:val="008559F0"/>
    <w:rsid w:val="008B6EF5"/>
    <w:rsid w:val="008F44B5"/>
    <w:rsid w:val="00953669"/>
    <w:rsid w:val="00A451B4"/>
    <w:rsid w:val="00A6634F"/>
    <w:rsid w:val="00A7247F"/>
    <w:rsid w:val="00A73976"/>
    <w:rsid w:val="00A846EB"/>
    <w:rsid w:val="00AF5CB7"/>
    <w:rsid w:val="00B03F55"/>
    <w:rsid w:val="00B77561"/>
    <w:rsid w:val="00BA6961"/>
    <w:rsid w:val="00C70CFC"/>
    <w:rsid w:val="00D00225"/>
    <w:rsid w:val="00D0037A"/>
    <w:rsid w:val="00DC0F21"/>
    <w:rsid w:val="00E1192C"/>
    <w:rsid w:val="00E72FF3"/>
    <w:rsid w:val="00E8048C"/>
    <w:rsid w:val="00E82E5D"/>
    <w:rsid w:val="00F33E8C"/>
    <w:rsid w:val="00F57FB0"/>
    <w:rsid w:val="00F66807"/>
    <w:rsid w:val="00F7254A"/>
    <w:rsid w:val="00F8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B7D0"/>
  <w15:chartTrackingRefBased/>
  <w15:docId w15:val="{47FB683E-9B7C-2649-8665-1D0CA544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CB7"/>
    <w:pPr>
      <w:spacing w:after="200" w:line="240" w:lineRule="auto"/>
      <w:jc w:val="both"/>
    </w:pPr>
    <w:rPr>
      <w:rFonts w:ascii="Times New Roman" w:eastAsia="MS Mincho" w:hAnsi="Times New Roman" w:cs="Times New Roman"/>
      <w:kern w:val="0"/>
      <w:szCs w:val="22"/>
      <w14:ligatures w14:val="none"/>
    </w:rPr>
  </w:style>
  <w:style w:type="paragraph" w:styleId="Heading1">
    <w:name w:val="heading 1"/>
    <w:basedOn w:val="Normal"/>
    <w:next w:val="Normal"/>
    <w:link w:val="Heading1Char"/>
    <w:uiPriority w:val="9"/>
    <w:qFormat/>
    <w:rsid w:val="005B0E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0E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0E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0E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0E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B0E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0E6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0E6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0E6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67"/>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5B0E67"/>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B0E67"/>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B0E67"/>
    <w:rPr>
      <w:rFonts w:eastAsiaTheme="majorEastAsia" w:cstheme="majorBidi"/>
      <w:i/>
      <w:iCs/>
      <w:color w:val="2F5496" w:themeColor="accent1" w:themeShade="BF"/>
      <w:kern w:val="0"/>
      <w:szCs w:val="22"/>
      <w14:ligatures w14:val="none"/>
    </w:rPr>
  </w:style>
  <w:style w:type="character" w:customStyle="1" w:styleId="Heading5Char">
    <w:name w:val="Heading 5 Char"/>
    <w:basedOn w:val="DefaultParagraphFont"/>
    <w:link w:val="Heading5"/>
    <w:uiPriority w:val="9"/>
    <w:semiHidden/>
    <w:rsid w:val="005B0E67"/>
    <w:rPr>
      <w:rFonts w:eastAsiaTheme="majorEastAsia" w:cstheme="majorBidi"/>
      <w:color w:val="2F5496" w:themeColor="accent1" w:themeShade="BF"/>
      <w:kern w:val="0"/>
      <w:szCs w:val="22"/>
      <w14:ligatures w14:val="none"/>
    </w:rPr>
  </w:style>
  <w:style w:type="character" w:customStyle="1" w:styleId="Heading6Char">
    <w:name w:val="Heading 6 Char"/>
    <w:basedOn w:val="DefaultParagraphFont"/>
    <w:link w:val="Heading6"/>
    <w:uiPriority w:val="9"/>
    <w:semiHidden/>
    <w:rsid w:val="005B0E67"/>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5B0E67"/>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5B0E67"/>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5B0E67"/>
    <w:rPr>
      <w:rFonts w:eastAsiaTheme="majorEastAsia" w:cstheme="majorBidi"/>
      <w:color w:val="272727" w:themeColor="text1" w:themeTint="D8"/>
      <w:kern w:val="0"/>
      <w:szCs w:val="22"/>
      <w14:ligatures w14:val="none"/>
    </w:rPr>
  </w:style>
  <w:style w:type="paragraph" w:styleId="Title">
    <w:name w:val="Title"/>
    <w:basedOn w:val="Normal"/>
    <w:next w:val="Normal"/>
    <w:link w:val="TitleChar"/>
    <w:uiPriority w:val="10"/>
    <w:qFormat/>
    <w:rsid w:val="005B0E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6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B0E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6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B0E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67"/>
    <w:rPr>
      <w:rFonts w:ascii="Times New Roman" w:eastAsia="MS Mincho" w:hAnsi="Times New Roman" w:cs="Times New Roman"/>
      <w:i/>
      <w:iCs/>
      <w:color w:val="404040" w:themeColor="text1" w:themeTint="BF"/>
      <w:kern w:val="0"/>
      <w:szCs w:val="22"/>
      <w14:ligatures w14:val="none"/>
    </w:rPr>
  </w:style>
  <w:style w:type="paragraph" w:styleId="ListParagraph">
    <w:name w:val="List Paragraph"/>
    <w:basedOn w:val="Normal"/>
    <w:uiPriority w:val="34"/>
    <w:qFormat/>
    <w:rsid w:val="005B0E67"/>
    <w:pPr>
      <w:ind w:left="720"/>
      <w:contextualSpacing/>
    </w:pPr>
  </w:style>
  <w:style w:type="character" w:styleId="IntenseEmphasis">
    <w:name w:val="Intense Emphasis"/>
    <w:basedOn w:val="DefaultParagraphFont"/>
    <w:uiPriority w:val="21"/>
    <w:qFormat/>
    <w:rsid w:val="005B0E67"/>
    <w:rPr>
      <w:i/>
      <w:iCs/>
      <w:color w:val="2F5496" w:themeColor="accent1" w:themeShade="BF"/>
    </w:rPr>
  </w:style>
  <w:style w:type="paragraph" w:styleId="IntenseQuote">
    <w:name w:val="Intense Quote"/>
    <w:basedOn w:val="Normal"/>
    <w:next w:val="Normal"/>
    <w:link w:val="IntenseQuoteChar"/>
    <w:uiPriority w:val="30"/>
    <w:qFormat/>
    <w:rsid w:val="005B0E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0E67"/>
    <w:rPr>
      <w:rFonts w:ascii="Times New Roman" w:eastAsia="MS Mincho" w:hAnsi="Times New Roman" w:cs="Times New Roman"/>
      <w:i/>
      <w:iCs/>
      <w:color w:val="2F5496" w:themeColor="accent1" w:themeShade="BF"/>
      <w:kern w:val="0"/>
      <w:szCs w:val="22"/>
      <w14:ligatures w14:val="none"/>
    </w:rPr>
  </w:style>
  <w:style w:type="character" w:styleId="IntenseReference">
    <w:name w:val="Intense Reference"/>
    <w:basedOn w:val="DefaultParagraphFont"/>
    <w:uiPriority w:val="32"/>
    <w:qFormat/>
    <w:rsid w:val="005B0E67"/>
    <w:rPr>
      <w:b/>
      <w:bCs/>
      <w:smallCaps/>
      <w:color w:val="2F5496" w:themeColor="accent1" w:themeShade="BF"/>
      <w:spacing w:val="5"/>
    </w:rPr>
  </w:style>
  <w:style w:type="paragraph" w:styleId="NormalWeb">
    <w:name w:val="Normal (Web)"/>
    <w:basedOn w:val="Normal"/>
    <w:uiPriority w:val="99"/>
    <w:unhideWhenUsed/>
    <w:rsid w:val="00D00225"/>
    <w:pPr>
      <w:spacing w:before="100" w:beforeAutospacing="1" w:after="100" w:afterAutospacing="1"/>
      <w:jc w:val="left"/>
    </w:pPr>
    <w:rPr>
      <w:rFonts w:eastAsia="Times New Roman"/>
      <w:szCs w:val="24"/>
    </w:rPr>
  </w:style>
  <w:style w:type="table" w:styleId="TableGrid">
    <w:name w:val="Table Grid"/>
    <w:basedOn w:val="TableNormal"/>
    <w:uiPriority w:val="39"/>
    <w:rsid w:val="008F4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Parliament</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Marsila Osmani</dc:creator>
  <cp:keywords/>
  <dc:description/>
  <cp:lastModifiedBy>Kesiana Rusi</cp:lastModifiedBy>
  <cp:revision>2</cp:revision>
  <dcterms:created xsi:type="dcterms:W3CDTF">2025-10-14T11:38:00Z</dcterms:created>
  <dcterms:modified xsi:type="dcterms:W3CDTF">2025-10-14T11:38:00Z</dcterms:modified>
</cp:coreProperties>
</file>