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FB" w:rsidRDefault="007055FB" w:rsidP="00AB5FAE">
      <w:pPr>
        <w:shd w:val="clear" w:color="auto" w:fill="FFFFFF"/>
        <w:jc w:val="center"/>
        <w:rPr>
          <w:b/>
          <w:sz w:val="28"/>
          <w:szCs w:val="28"/>
          <w:lang w:val="it-IT"/>
        </w:rPr>
      </w:pPr>
    </w:p>
    <w:p w:rsidR="007055FB" w:rsidRDefault="007055FB" w:rsidP="00AB5FAE">
      <w:pPr>
        <w:shd w:val="clear" w:color="auto" w:fill="FFFFFF"/>
        <w:jc w:val="center"/>
        <w:rPr>
          <w:b/>
          <w:sz w:val="28"/>
          <w:szCs w:val="28"/>
          <w:lang w:val="it-IT"/>
        </w:rPr>
      </w:pPr>
      <w:r w:rsidRPr="00AB5FAE">
        <w:rPr>
          <w:b/>
          <w:sz w:val="28"/>
          <w:szCs w:val="28"/>
          <w:lang w:val="it-IT"/>
        </w:rPr>
        <w:t>R E L A C I O N</w:t>
      </w:r>
    </w:p>
    <w:p w:rsidR="007055FB" w:rsidRDefault="007055FB" w:rsidP="00AB5FAE">
      <w:pPr>
        <w:shd w:val="clear" w:color="auto" w:fill="FFFFFF"/>
        <w:jc w:val="center"/>
        <w:rPr>
          <w:b/>
          <w:sz w:val="28"/>
          <w:szCs w:val="28"/>
          <w:lang w:val="it-IT"/>
        </w:rPr>
      </w:pPr>
    </w:p>
    <w:p w:rsidR="007055FB" w:rsidRPr="00AB5FAE" w:rsidRDefault="007055FB" w:rsidP="00BB32AD">
      <w:pPr>
        <w:shd w:val="clear" w:color="auto" w:fill="FFFFFF"/>
        <w:rPr>
          <w:b/>
          <w:sz w:val="28"/>
          <w:szCs w:val="28"/>
          <w:lang w:val="it-IT"/>
        </w:rPr>
      </w:pPr>
    </w:p>
    <w:p w:rsidR="007055FB" w:rsidRDefault="007055FB" w:rsidP="00AB5FAE">
      <w:pPr>
        <w:shd w:val="clear" w:color="auto" w:fill="FFFFFF"/>
        <w:jc w:val="center"/>
        <w:rPr>
          <w:b/>
          <w:sz w:val="28"/>
          <w:szCs w:val="28"/>
          <w:lang w:val="it-IT"/>
        </w:rPr>
      </w:pPr>
      <w:r w:rsidRPr="00AB5FAE">
        <w:rPr>
          <w:b/>
          <w:sz w:val="28"/>
          <w:szCs w:val="28"/>
          <w:lang w:val="it-IT"/>
        </w:rPr>
        <w:t>PËR</w:t>
      </w:r>
    </w:p>
    <w:p w:rsidR="007055FB" w:rsidRPr="00AB5FAE" w:rsidRDefault="007055FB" w:rsidP="00AB5FAE">
      <w:pPr>
        <w:shd w:val="clear" w:color="auto" w:fill="FFFFFF"/>
        <w:jc w:val="right"/>
        <w:rPr>
          <w:b/>
          <w:sz w:val="28"/>
          <w:szCs w:val="28"/>
          <w:lang w:val="it-IT"/>
        </w:rPr>
      </w:pPr>
    </w:p>
    <w:p w:rsidR="007055FB" w:rsidRPr="00AB5FAE" w:rsidRDefault="007055FB" w:rsidP="00AB5FAE">
      <w:pPr>
        <w:shd w:val="clear" w:color="auto" w:fill="FFFFFF"/>
        <w:jc w:val="center"/>
        <w:rPr>
          <w:b/>
          <w:bCs/>
          <w:sz w:val="28"/>
          <w:szCs w:val="28"/>
          <w:u w:val="single"/>
          <w:lang w:val="it-IT"/>
        </w:rPr>
      </w:pPr>
      <w:r w:rsidRPr="00AB5FAE">
        <w:rPr>
          <w:b/>
          <w:sz w:val="28"/>
          <w:szCs w:val="28"/>
          <w:u w:val="single"/>
          <w:lang w:val="it-IT"/>
        </w:rPr>
        <w:t>PROJEKTLIGJIN</w:t>
      </w:r>
      <w:r w:rsidRPr="00AB5FAE">
        <w:rPr>
          <w:b/>
          <w:bCs/>
          <w:sz w:val="28"/>
          <w:szCs w:val="28"/>
          <w:u w:val="single"/>
          <w:lang w:val="it-IT"/>
        </w:rPr>
        <w:t xml:space="preserve"> “PËR NJË NDRYSHIM</w:t>
      </w:r>
      <w:r>
        <w:rPr>
          <w:b/>
          <w:bCs/>
          <w:sz w:val="28"/>
          <w:szCs w:val="28"/>
          <w:u w:val="single"/>
          <w:lang w:val="it-IT"/>
        </w:rPr>
        <w:t xml:space="preserve"> NË LIGJIN NR.</w:t>
      </w:r>
      <w:r w:rsidRPr="00AB5FAE">
        <w:rPr>
          <w:b/>
          <w:bCs/>
          <w:sz w:val="28"/>
          <w:szCs w:val="28"/>
          <w:u w:val="single"/>
          <w:lang w:val="it-IT"/>
        </w:rPr>
        <w:t xml:space="preserve">8116, </w:t>
      </w:r>
      <w:r>
        <w:rPr>
          <w:b/>
          <w:bCs/>
          <w:sz w:val="28"/>
          <w:szCs w:val="28"/>
          <w:u w:val="single"/>
          <w:lang w:val="it-IT"/>
        </w:rPr>
        <w:t xml:space="preserve">      </w:t>
      </w:r>
      <w:r w:rsidRPr="00AB5FAE">
        <w:rPr>
          <w:b/>
          <w:bCs/>
          <w:sz w:val="28"/>
          <w:szCs w:val="28"/>
          <w:u w:val="single"/>
          <w:lang w:val="it-IT"/>
        </w:rPr>
        <w:t>DATË 29.3.1996</w:t>
      </w:r>
      <w:r>
        <w:rPr>
          <w:b/>
          <w:bCs/>
          <w:sz w:val="28"/>
          <w:szCs w:val="28"/>
          <w:u w:val="single"/>
          <w:lang w:val="it-IT"/>
        </w:rPr>
        <w:t>,</w:t>
      </w:r>
      <w:r w:rsidRPr="00AB5FAE">
        <w:rPr>
          <w:b/>
          <w:bCs/>
          <w:sz w:val="28"/>
          <w:szCs w:val="28"/>
          <w:u w:val="single"/>
          <w:lang w:val="it-IT"/>
        </w:rPr>
        <w:t xml:space="preserve"> “KODI I PROCEDURËS CIVILE I REPUBLIKËS </w:t>
      </w:r>
      <w:r>
        <w:rPr>
          <w:b/>
          <w:bCs/>
          <w:sz w:val="28"/>
          <w:szCs w:val="28"/>
          <w:u w:val="single"/>
          <w:lang w:val="it-IT"/>
        </w:rPr>
        <w:t xml:space="preserve">        </w:t>
      </w:r>
      <w:r w:rsidRPr="00AB5FAE">
        <w:rPr>
          <w:b/>
          <w:bCs/>
          <w:sz w:val="28"/>
          <w:szCs w:val="28"/>
          <w:u w:val="single"/>
          <w:lang w:val="it-IT"/>
        </w:rPr>
        <w:t>SË SHQIPËRISË”, TË NDRYSHUAR”</w:t>
      </w:r>
    </w:p>
    <w:p w:rsidR="007055FB" w:rsidRDefault="007055FB" w:rsidP="00AB5FAE">
      <w:pPr>
        <w:shd w:val="clear" w:color="auto" w:fill="FFFFFF"/>
        <w:jc w:val="both"/>
        <w:rPr>
          <w:b/>
          <w:sz w:val="28"/>
          <w:szCs w:val="28"/>
          <w:lang w:val="it-IT"/>
        </w:rPr>
      </w:pPr>
    </w:p>
    <w:p w:rsidR="007055FB" w:rsidRPr="00AB5FAE" w:rsidRDefault="007055FB" w:rsidP="00AB5FAE">
      <w:pPr>
        <w:shd w:val="clear" w:color="auto" w:fill="FFFFFF"/>
        <w:jc w:val="both"/>
        <w:rPr>
          <w:b/>
          <w:sz w:val="28"/>
          <w:szCs w:val="28"/>
          <w:lang w:val="it-IT"/>
        </w:rPr>
      </w:pPr>
      <w:bookmarkStart w:id="0" w:name="_GoBack"/>
      <w:bookmarkEnd w:id="0"/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Së fund</w:t>
      </w:r>
      <w:r w:rsidRPr="00AB5FAE">
        <w:rPr>
          <w:sz w:val="28"/>
          <w:szCs w:val="28"/>
          <w:lang w:val="sq-AL"/>
        </w:rPr>
        <w:t>i</w:t>
      </w:r>
      <w:r>
        <w:rPr>
          <w:sz w:val="28"/>
          <w:szCs w:val="28"/>
          <w:lang w:val="sq-AL"/>
        </w:rPr>
        <w:t>, Kuvendi ka miratuar ligjin nr.</w:t>
      </w:r>
      <w:r w:rsidRPr="00AB5FAE">
        <w:rPr>
          <w:sz w:val="28"/>
          <w:szCs w:val="28"/>
          <w:lang w:val="sq-AL"/>
        </w:rPr>
        <w:t>122/2013, i cili ndryshon Kodin e Procedurës Civile. Në këtë reformë</w:t>
      </w:r>
      <w:r>
        <w:rPr>
          <w:sz w:val="28"/>
          <w:szCs w:val="28"/>
          <w:lang w:val="sq-AL"/>
        </w:rPr>
        <w:t xml:space="preserve"> ekzistojnë disa dispozita trans</w:t>
      </w:r>
      <w:r w:rsidRPr="00AB5FAE">
        <w:rPr>
          <w:sz w:val="28"/>
          <w:szCs w:val="28"/>
          <w:lang w:val="sq-AL"/>
        </w:rPr>
        <w:t>itore në nenin 49</w:t>
      </w:r>
      <w:r>
        <w:rPr>
          <w:sz w:val="28"/>
          <w:szCs w:val="28"/>
          <w:lang w:val="sq-AL"/>
        </w:rPr>
        <w:t>,</w:t>
      </w:r>
      <w:r w:rsidRPr="00AB5FAE">
        <w:rPr>
          <w:sz w:val="28"/>
          <w:szCs w:val="28"/>
          <w:lang w:val="sq-AL"/>
        </w:rPr>
        <w:t xml:space="preserve"> të cilat mund të fragmentojnë zbatimin e reformave madhore të kërkuara nga Gjykata e Lartë e Republikës së Shqipërisë. Paragraf</w:t>
      </w:r>
      <w:r>
        <w:rPr>
          <w:sz w:val="28"/>
          <w:szCs w:val="28"/>
          <w:lang w:val="sq-AL"/>
        </w:rPr>
        <w:t>i i parë i kësaj dispozite trans</w:t>
      </w:r>
      <w:r w:rsidRPr="00AB5FAE">
        <w:rPr>
          <w:sz w:val="28"/>
          <w:szCs w:val="28"/>
          <w:lang w:val="sq-AL"/>
        </w:rPr>
        <w:t>itore parashikon se: “</w:t>
      </w:r>
      <w:r w:rsidRPr="00AB5FAE">
        <w:rPr>
          <w:iCs/>
          <w:sz w:val="28"/>
          <w:szCs w:val="28"/>
          <w:lang w:val="sq-AL"/>
        </w:rPr>
        <w:t>çështjet civile që janë nën shqyrtim në gjykatë në ditën e hyrjes në fuqi të këtij ligji duhet të gjykohen në përputhje me ligjin e zbatuar në momentin kur është paraqitur kërkesa</w:t>
      </w:r>
      <w:r w:rsidRPr="00AB5FAE">
        <w:rPr>
          <w:sz w:val="28"/>
          <w:szCs w:val="28"/>
          <w:lang w:val="sq-AL"/>
        </w:rPr>
        <w:t>”. Qëllimi i dispozitës ka qenë aplikimi i rregullave të kohës së paraqitjes së kërkesës nga Gjykata e Shkallës së Parë</w:t>
      </w:r>
      <w:r>
        <w:rPr>
          <w:sz w:val="28"/>
          <w:szCs w:val="28"/>
          <w:lang w:val="sq-AL"/>
        </w:rPr>
        <w:t xml:space="preserve"> dhe Gjykata</w:t>
      </w:r>
      <w:r w:rsidRPr="00AB5FAE">
        <w:rPr>
          <w:sz w:val="28"/>
          <w:szCs w:val="28"/>
          <w:lang w:val="sq-AL"/>
        </w:rPr>
        <w:t xml:space="preserve"> e Apelit</w:t>
      </w:r>
      <w:r>
        <w:rPr>
          <w:sz w:val="28"/>
          <w:szCs w:val="28"/>
          <w:lang w:val="sq-AL"/>
        </w:rPr>
        <w:t>, përsa u përket dispozitave për</w:t>
      </w:r>
      <w:r w:rsidRPr="00AB5FAE">
        <w:rPr>
          <w:sz w:val="28"/>
          <w:szCs w:val="28"/>
          <w:lang w:val="sq-AL"/>
        </w:rPr>
        <w:t xml:space="preserve"> përmbajtjen e </w:t>
      </w:r>
      <w:r>
        <w:rPr>
          <w:sz w:val="28"/>
          <w:szCs w:val="28"/>
          <w:lang w:val="sq-AL"/>
        </w:rPr>
        <w:t xml:space="preserve">   kërkesë</w:t>
      </w:r>
      <w:r w:rsidRPr="00AB5FAE">
        <w:rPr>
          <w:sz w:val="28"/>
          <w:szCs w:val="28"/>
          <w:lang w:val="sq-AL"/>
        </w:rPr>
        <w:t xml:space="preserve">padisë, ankimit, njoftimeve, lëshimit të urdhrave të ekzekutimit apo dëshmive të trashëgimisë. </w:t>
      </w: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sq-AL"/>
        </w:rPr>
      </w:pP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sq-AL"/>
        </w:rPr>
      </w:pPr>
      <w:r w:rsidRPr="00AB5FAE">
        <w:rPr>
          <w:sz w:val="28"/>
          <w:szCs w:val="28"/>
          <w:lang w:val="sq-AL"/>
        </w:rPr>
        <w:t xml:space="preserve">Mirëpo, formulimi i saj lë vend për interpretim nëse edhe çështjet që janë </w:t>
      </w:r>
      <w:r>
        <w:rPr>
          <w:sz w:val="28"/>
          <w:szCs w:val="28"/>
          <w:lang w:val="sq-AL"/>
        </w:rPr>
        <w:t>në shqyrtim nga Gjykata e Lartë</w:t>
      </w:r>
      <w:r w:rsidRPr="00AB5FAE">
        <w:rPr>
          <w:sz w:val="28"/>
          <w:szCs w:val="28"/>
          <w:lang w:val="sq-AL"/>
        </w:rPr>
        <w:t xml:space="preserve"> do të shqyrtohen me ligjin e </w:t>
      </w:r>
      <w:r>
        <w:rPr>
          <w:sz w:val="28"/>
          <w:szCs w:val="28"/>
          <w:lang w:val="sq-AL"/>
        </w:rPr>
        <w:t>kohës së depozitimit të kërkesë</w:t>
      </w:r>
      <w:r w:rsidRPr="00AB5FAE">
        <w:rPr>
          <w:sz w:val="28"/>
          <w:szCs w:val="28"/>
          <w:lang w:val="sq-AL"/>
        </w:rPr>
        <w:t xml:space="preserve">padisë. Aplikimi i kësaj dispozite nga ana e Gjykatës së Lartë mund të pengojë zbatimin e reformës së procedurës civile në Gjykatën e Lartë. Ligji i ri parashikon një kolegj me 3 </w:t>
      </w:r>
      <w:r>
        <w:rPr>
          <w:sz w:val="28"/>
          <w:szCs w:val="28"/>
          <w:lang w:val="sq-AL"/>
        </w:rPr>
        <w:t xml:space="preserve">(tre) </w:t>
      </w:r>
      <w:r w:rsidRPr="00AB5FAE">
        <w:rPr>
          <w:sz w:val="28"/>
          <w:szCs w:val="28"/>
          <w:lang w:val="sq-AL"/>
        </w:rPr>
        <w:t xml:space="preserve">gjyqtarë për gjykimin në shumicën e çështjeve dhe redukton shkaqet për të bërë rekurs në Gjykatën e Lartë. </w:t>
      </w:r>
      <w:r>
        <w:rPr>
          <w:sz w:val="28"/>
          <w:szCs w:val="28"/>
          <w:lang w:val="sq-AL"/>
        </w:rPr>
        <w:t>Nëse</w:t>
      </w:r>
      <w:r w:rsidRPr="00AB5FAE">
        <w:rPr>
          <w:sz w:val="28"/>
          <w:szCs w:val="28"/>
          <w:lang w:val="sq-AL"/>
        </w:rPr>
        <w:t xml:space="preserve"> momenti i referencës për të vendosur </w:t>
      </w:r>
      <w:r>
        <w:rPr>
          <w:sz w:val="28"/>
          <w:szCs w:val="28"/>
          <w:lang w:val="sq-AL"/>
        </w:rPr>
        <w:t>se cili ligj është i zbatueshëm</w:t>
      </w:r>
      <w:r w:rsidRPr="00AB5FAE">
        <w:rPr>
          <w:sz w:val="28"/>
          <w:szCs w:val="28"/>
          <w:lang w:val="sq-AL"/>
        </w:rPr>
        <w:t xml:space="preserve"> është data e paraqitjes së padisë, reforma e Gjykatës së Lartë do </w:t>
      </w:r>
      <w:r>
        <w:rPr>
          <w:sz w:val="28"/>
          <w:szCs w:val="28"/>
          <w:lang w:val="sq-AL"/>
        </w:rPr>
        <w:t xml:space="preserve">të </w:t>
      </w:r>
      <w:r w:rsidRPr="00AB5FAE">
        <w:rPr>
          <w:sz w:val="28"/>
          <w:szCs w:val="28"/>
          <w:lang w:val="sq-AL"/>
        </w:rPr>
        <w:t xml:space="preserve">fillojë të zbatohet vetëm përafërsisht pas 4 </w:t>
      </w:r>
      <w:r>
        <w:rPr>
          <w:sz w:val="28"/>
          <w:szCs w:val="28"/>
          <w:lang w:val="sq-AL"/>
        </w:rPr>
        <w:t xml:space="preserve">(katër) </w:t>
      </w:r>
      <w:r w:rsidRPr="00AB5FAE">
        <w:rPr>
          <w:sz w:val="28"/>
          <w:szCs w:val="28"/>
          <w:lang w:val="sq-AL"/>
        </w:rPr>
        <w:t>vitesh, duke mos arritur synimin e kërkuar nga reformimi i rregullave të gjykimit në Gjykatën e Lartë.</w:t>
      </w: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sq-AL"/>
        </w:rPr>
      </w:pP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sq-AL"/>
        </w:rPr>
      </w:pPr>
      <w:r w:rsidRPr="00AB5FAE">
        <w:rPr>
          <w:sz w:val="28"/>
          <w:szCs w:val="28"/>
          <w:lang w:val="sq-AL"/>
        </w:rPr>
        <w:t>Zbatimi korrekt i parimeve të sigurisë ligjore kërkon që rregullat procedurale nuk duhet të ndryshohen nga fillimi i çështjeve, kështu që shtetasit të mund ta njohin ligjin e zbatueshëm në m</w:t>
      </w:r>
      <w:r>
        <w:rPr>
          <w:sz w:val="28"/>
          <w:szCs w:val="28"/>
          <w:lang w:val="sq-AL"/>
        </w:rPr>
        <w:t>omentin e plotësimit të kërkesë</w:t>
      </w:r>
      <w:r w:rsidRPr="00AB5FAE">
        <w:rPr>
          <w:sz w:val="28"/>
          <w:szCs w:val="28"/>
          <w:lang w:val="sq-AL"/>
        </w:rPr>
        <w:t>padisë. Ky është parimi që përshkon dispozitat e nenit 49. Megjithatë</w:t>
      </w:r>
      <w:r>
        <w:rPr>
          <w:sz w:val="28"/>
          <w:szCs w:val="28"/>
          <w:lang w:val="sq-AL"/>
        </w:rPr>
        <w:t>,</w:t>
      </w:r>
      <w:r w:rsidRPr="00AB5FAE">
        <w:rPr>
          <w:sz w:val="28"/>
          <w:szCs w:val="28"/>
          <w:lang w:val="sq-AL"/>
        </w:rPr>
        <w:t xml:space="preserve"> duke marrë parasysh reformat procedurale në lidhje </w:t>
      </w:r>
      <w:r>
        <w:rPr>
          <w:sz w:val="28"/>
          <w:szCs w:val="28"/>
          <w:lang w:val="sq-AL"/>
        </w:rPr>
        <w:t>me Gjykatën e Lartë, vlen për t’</w:t>
      </w:r>
      <w:r w:rsidRPr="00AB5FAE">
        <w:rPr>
          <w:sz w:val="28"/>
          <w:szCs w:val="28"/>
          <w:lang w:val="sq-AL"/>
        </w:rPr>
        <w:t xml:space="preserve">u theksuar se nuk paraqet asnjë problem kushtetues aplikimi i rregullave të reja për çështjet që shqyrtohen në Gjykatën e Lartë.  </w:t>
      </w:r>
      <w:r>
        <w:rPr>
          <w:sz w:val="28"/>
          <w:szCs w:val="28"/>
          <w:lang w:val="sq-AL"/>
        </w:rPr>
        <w:t>Një rregull i tillë trans</w:t>
      </w:r>
      <w:r w:rsidRPr="00AB5FAE">
        <w:rPr>
          <w:sz w:val="28"/>
          <w:szCs w:val="28"/>
          <w:lang w:val="sq-AL"/>
        </w:rPr>
        <w:t>itor është parashikuar edhe më parë në legjislacionin shqiptar dhe</w:t>
      </w:r>
      <w:r>
        <w:rPr>
          <w:sz w:val="28"/>
          <w:szCs w:val="28"/>
          <w:lang w:val="sq-AL"/>
        </w:rPr>
        <w:t>,</w:t>
      </w:r>
      <w:r w:rsidRPr="00AB5FAE">
        <w:rPr>
          <w:sz w:val="28"/>
          <w:szCs w:val="28"/>
          <w:lang w:val="sq-AL"/>
        </w:rPr>
        <w:t xml:space="preserve"> konkretisht</w:t>
      </w:r>
      <w:r>
        <w:rPr>
          <w:sz w:val="28"/>
          <w:szCs w:val="28"/>
          <w:lang w:val="sq-AL"/>
        </w:rPr>
        <w:t>, në dispozitat trans</w:t>
      </w:r>
      <w:r w:rsidRPr="00AB5FAE">
        <w:rPr>
          <w:sz w:val="28"/>
          <w:szCs w:val="28"/>
          <w:lang w:val="sq-AL"/>
        </w:rPr>
        <w:t>itore të parashikuara në nenet 618 e vijues të Kodit të Procedurës Civile.</w:t>
      </w:r>
    </w:p>
    <w:p w:rsidR="007055FB" w:rsidRPr="00AB5FAE" w:rsidRDefault="007055FB" w:rsidP="00AB5FAE">
      <w:pPr>
        <w:autoSpaceDE w:val="0"/>
        <w:autoSpaceDN w:val="0"/>
        <w:jc w:val="both"/>
        <w:rPr>
          <w:b/>
          <w:bCs/>
          <w:sz w:val="28"/>
          <w:szCs w:val="28"/>
          <w:lang w:val="sq-AL"/>
        </w:rPr>
      </w:pP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it-IT"/>
        </w:rPr>
      </w:pPr>
      <w:r w:rsidRPr="00AB5FAE">
        <w:rPr>
          <w:sz w:val="28"/>
          <w:szCs w:val="28"/>
          <w:lang w:val="sq-AL"/>
        </w:rPr>
        <w:t>E vetmja zgjidhje e mundshme për adresimin e kësaj çështje</w:t>
      </w:r>
      <w:r>
        <w:rPr>
          <w:sz w:val="28"/>
          <w:szCs w:val="28"/>
          <w:lang w:val="sq-AL"/>
        </w:rPr>
        <w:t>je</w:t>
      </w:r>
      <w:r w:rsidRPr="00AB5FAE">
        <w:rPr>
          <w:sz w:val="28"/>
          <w:szCs w:val="28"/>
          <w:lang w:val="sq-AL"/>
        </w:rPr>
        <w:t xml:space="preserve"> është hartimi i një ndryshimi në ligj për ndryshimet e Kodit të Procedurës Civile për të riformuluar dispozitën</w:t>
      </w:r>
      <w:r>
        <w:rPr>
          <w:sz w:val="28"/>
          <w:szCs w:val="28"/>
          <w:lang w:val="sq-AL"/>
        </w:rPr>
        <w:t xml:space="preserve"> trans</w:t>
      </w:r>
      <w:r w:rsidRPr="00AB5FAE">
        <w:rPr>
          <w:sz w:val="28"/>
          <w:szCs w:val="28"/>
          <w:lang w:val="sq-AL"/>
        </w:rPr>
        <w:t xml:space="preserve">itore dhe për të parashikuar se </w:t>
      </w:r>
      <w:r w:rsidRPr="00AB5FAE">
        <w:rPr>
          <w:sz w:val="28"/>
          <w:szCs w:val="28"/>
          <w:lang w:val="it-IT"/>
        </w:rPr>
        <w:t>çështjet civile</w:t>
      </w:r>
      <w:r>
        <w:rPr>
          <w:sz w:val="28"/>
          <w:szCs w:val="28"/>
          <w:lang w:val="it-IT"/>
        </w:rPr>
        <w:t>,</w:t>
      </w:r>
      <w:r w:rsidRPr="00AB5FAE">
        <w:rPr>
          <w:sz w:val="28"/>
          <w:szCs w:val="28"/>
          <w:lang w:val="it-IT"/>
        </w:rPr>
        <w:t xml:space="preserve"> që janë në gjykim ditën e hyrjes në fuqi të këtij ligji, do të vazhdojnë të gjykohen në Gjykatën e Shkallës së Parë dhe Gjykatën e Apelit, sipas ligjit të kohës së paraqitjes së kërkesë</w:t>
      </w:r>
      <w:r>
        <w:rPr>
          <w:sz w:val="28"/>
          <w:szCs w:val="28"/>
          <w:lang w:val="it-IT"/>
        </w:rPr>
        <w:t>s. Pra, rregulli trans</w:t>
      </w:r>
      <w:r w:rsidRPr="00AB5FAE">
        <w:rPr>
          <w:sz w:val="28"/>
          <w:szCs w:val="28"/>
          <w:lang w:val="it-IT"/>
        </w:rPr>
        <w:t>itor i paraqi</w:t>
      </w:r>
      <w:r>
        <w:rPr>
          <w:sz w:val="28"/>
          <w:szCs w:val="28"/>
          <w:lang w:val="it-IT"/>
        </w:rPr>
        <w:t>tur vepron vetëm në gjykimin e ç</w:t>
      </w:r>
      <w:r w:rsidRPr="00AB5FAE">
        <w:rPr>
          <w:sz w:val="28"/>
          <w:szCs w:val="28"/>
          <w:lang w:val="it-IT"/>
        </w:rPr>
        <w:t>ështjeve në Gjykatën e Shkallës së Parë dhe Gjykatën e Apelit.</w:t>
      </w:r>
    </w:p>
    <w:p w:rsidR="007055FB" w:rsidRPr="00AB5FAE" w:rsidRDefault="007055FB" w:rsidP="00AB5FAE">
      <w:pPr>
        <w:autoSpaceDE w:val="0"/>
        <w:autoSpaceDN w:val="0"/>
        <w:jc w:val="both"/>
        <w:rPr>
          <w:sz w:val="28"/>
          <w:szCs w:val="28"/>
          <w:lang w:val="it-IT"/>
        </w:rPr>
      </w:pPr>
    </w:p>
    <w:p w:rsidR="007055FB" w:rsidRDefault="007055FB" w:rsidP="00AB5FAE">
      <w:pPr>
        <w:autoSpaceDE w:val="0"/>
        <w:autoSpaceDN w:val="0"/>
        <w:jc w:val="center"/>
        <w:rPr>
          <w:b/>
          <w:sz w:val="28"/>
          <w:szCs w:val="28"/>
          <w:lang w:val="it-IT"/>
        </w:rPr>
      </w:pPr>
    </w:p>
    <w:p w:rsidR="007055FB" w:rsidRPr="00AB5FAE" w:rsidRDefault="007055FB" w:rsidP="00AB5FAE">
      <w:pPr>
        <w:autoSpaceDE w:val="0"/>
        <w:autoSpaceDN w:val="0"/>
        <w:jc w:val="center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it-IT"/>
        </w:rPr>
        <w:t>KËSHILLI I MINISTRAVE</w:t>
      </w:r>
    </w:p>
    <w:sectPr w:rsidR="007055FB" w:rsidRPr="00AB5FAE" w:rsidSect="00AB5FAE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5FB" w:rsidRDefault="007055FB" w:rsidP="00BB32AD">
      <w:r>
        <w:separator/>
      </w:r>
    </w:p>
  </w:endnote>
  <w:endnote w:type="continuationSeparator" w:id="0">
    <w:p w:rsidR="007055FB" w:rsidRDefault="007055FB" w:rsidP="00BB3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5FB" w:rsidRDefault="007055FB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7055FB" w:rsidRDefault="007055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5FB" w:rsidRDefault="007055FB" w:rsidP="00BB32AD">
      <w:r>
        <w:separator/>
      </w:r>
    </w:p>
  </w:footnote>
  <w:footnote w:type="continuationSeparator" w:id="0">
    <w:p w:rsidR="007055FB" w:rsidRDefault="007055FB" w:rsidP="00BB32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0D1"/>
    <w:rsid w:val="0000277E"/>
    <w:rsid w:val="000B5A91"/>
    <w:rsid w:val="00292D64"/>
    <w:rsid w:val="002C60D1"/>
    <w:rsid w:val="005D7562"/>
    <w:rsid w:val="007055FB"/>
    <w:rsid w:val="008A7108"/>
    <w:rsid w:val="009A135B"/>
    <w:rsid w:val="00AB5FAE"/>
    <w:rsid w:val="00B60FEE"/>
    <w:rsid w:val="00BB32AD"/>
    <w:rsid w:val="00D328E9"/>
    <w:rsid w:val="00E7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0D1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32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32AD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B32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32AD"/>
    <w:rPr>
      <w:rFonts w:ascii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450</Words>
  <Characters>2570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Relacioni</dc:title>
  <dc:subject/>
  <dc:creator>Gazment Bardhi</dc:creator>
  <cp:keywords/>
  <dc:description/>
  <cp:lastModifiedBy>Aida</cp:lastModifiedBy>
  <cp:revision>2</cp:revision>
  <dcterms:created xsi:type="dcterms:W3CDTF">2013-10-18T11:33:00Z</dcterms:created>
  <dcterms:modified xsi:type="dcterms:W3CDTF">2013-10-18T11:33:00Z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0x00B286888461FB9A40B3E6A800CFE598CB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3646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