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85" w:rsidRDefault="00363D85" w:rsidP="00D239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>R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>E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>L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>A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>C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>I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>O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>N</w:t>
      </w:r>
    </w:p>
    <w:p w:rsidR="00363D85" w:rsidRDefault="00363D85" w:rsidP="00D239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Default="00363D85" w:rsidP="00D239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Default="00363D85" w:rsidP="00D239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>PËR</w:t>
      </w:r>
    </w:p>
    <w:p w:rsidR="00363D85" w:rsidRPr="00536D7C" w:rsidRDefault="00363D85" w:rsidP="00D239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536D7C">
        <w:rPr>
          <w:rFonts w:ascii="Times New Roman" w:hAnsi="Times New Roman"/>
          <w:b/>
          <w:sz w:val="28"/>
          <w:szCs w:val="28"/>
          <w:u w:val="single"/>
          <w:lang w:val="sq-AL"/>
        </w:rPr>
        <w:t xml:space="preserve">PROJEKTLIGJIN “PËR </w:t>
      </w:r>
      <w:r>
        <w:rPr>
          <w:rFonts w:ascii="Times New Roman" w:hAnsi="Times New Roman"/>
          <w:b/>
          <w:caps/>
          <w:sz w:val="28"/>
          <w:szCs w:val="28"/>
          <w:u w:val="single"/>
        </w:rPr>
        <w:t>ADERIMIN</w:t>
      </w:r>
      <w:r w:rsidRPr="00536D7C">
        <w:rPr>
          <w:rFonts w:ascii="Times New Roman" w:hAnsi="Times New Roman"/>
          <w:b/>
          <w:caps/>
          <w:sz w:val="28"/>
          <w:szCs w:val="28"/>
          <w:u w:val="single"/>
        </w:rPr>
        <w:t xml:space="preserve"> E REPUBLIKËS SË SHQIPËRISË NË KONVENTËN E VJENËS </w:t>
      </w:r>
      <w:r w:rsidRPr="00536D7C">
        <w:rPr>
          <w:rFonts w:ascii="Times New Roman" w:hAnsi="Times New Roman"/>
          <w:sz w:val="28"/>
          <w:szCs w:val="28"/>
          <w:u w:val="single"/>
          <w:lang w:val="sq-AL"/>
        </w:rPr>
        <w:t>“</w:t>
      </w:r>
      <w:r w:rsidRPr="00536D7C">
        <w:rPr>
          <w:rFonts w:ascii="Times New Roman" w:hAnsi="Times New Roman"/>
          <w:b/>
          <w:caps/>
          <w:sz w:val="28"/>
          <w:szCs w:val="28"/>
          <w:u w:val="single"/>
        </w:rPr>
        <w:t xml:space="preserve">PËR TË DREJTËN E TRAKTATEVE MIDIS SHTETEVE DHE ORGANIZATAVE NDËRKOMBËTARE </w:t>
      </w:r>
      <w:r>
        <w:rPr>
          <w:rFonts w:ascii="Times New Roman" w:hAnsi="Times New Roman"/>
          <w:b/>
          <w:caps/>
          <w:sz w:val="28"/>
          <w:szCs w:val="28"/>
          <w:u w:val="single"/>
        </w:rPr>
        <w:t xml:space="preserve">             </w:t>
      </w:r>
      <w:r w:rsidRPr="00536D7C">
        <w:rPr>
          <w:rFonts w:ascii="Times New Roman" w:hAnsi="Times New Roman"/>
          <w:b/>
          <w:caps/>
          <w:sz w:val="28"/>
          <w:szCs w:val="28"/>
          <w:u w:val="single"/>
        </w:rPr>
        <w:t>OSE MIDIS ORGANIZATAVE NDËRKOMBËTARE”, 1986</w:t>
      </w:r>
      <w:r>
        <w:rPr>
          <w:rFonts w:ascii="Times New Roman" w:hAnsi="Times New Roman"/>
          <w:b/>
          <w:caps/>
          <w:sz w:val="28"/>
          <w:szCs w:val="28"/>
          <w:u w:val="single"/>
        </w:rPr>
        <w:t>”</w:t>
      </w:r>
    </w:p>
    <w:p w:rsidR="00363D85" w:rsidRPr="00536D7C" w:rsidRDefault="00363D85" w:rsidP="00D239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Këshilli i i Ministrave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propozon projektligjin </w:t>
      </w:r>
      <w:r>
        <w:rPr>
          <w:rFonts w:ascii="Times New Roman" w:hAnsi="Times New Roman"/>
          <w:sz w:val="28"/>
          <w:szCs w:val="28"/>
          <w:lang w:val="sq-AL"/>
        </w:rPr>
        <w:t>“P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ër aderimin </w:t>
      </w:r>
      <w:r>
        <w:rPr>
          <w:rFonts w:ascii="Times New Roman" w:hAnsi="Times New Roman"/>
          <w:sz w:val="28"/>
          <w:szCs w:val="28"/>
          <w:lang w:val="sq-AL"/>
        </w:rPr>
        <w:t xml:space="preserve">e Republikës së Shqipërisë 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në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>onventën e Vjenës “Për të drejtën e traktateve midis shteteve dhe organizatave ndërkombëtare ose midis organizatave ndërkombëtare”,</w:t>
      </w:r>
      <w:r>
        <w:rPr>
          <w:rFonts w:ascii="Times New Roman" w:hAnsi="Times New Roman"/>
          <w:sz w:val="28"/>
          <w:szCs w:val="28"/>
          <w:lang w:val="sq-AL"/>
        </w:rPr>
        <w:t xml:space="preserve"> 1986”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duke parë të nevojsh</w:t>
      </w:r>
      <w:r>
        <w:rPr>
          <w:rFonts w:ascii="Times New Roman" w:hAnsi="Times New Roman"/>
          <w:sz w:val="28"/>
          <w:szCs w:val="28"/>
          <w:lang w:val="sq-AL"/>
        </w:rPr>
        <w:t>ëm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rregullimin e kuadrit ligjor </w:t>
      </w:r>
      <w:r>
        <w:rPr>
          <w:rFonts w:ascii="Times New Roman" w:hAnsi="Times New Roman"/>
          <w:sz w:val="28"/>
          <w:szCs w:val="28"/>
          <w:lang w:val="sq-AL"/>
        </w:rPr>
        <w:t>në fuqi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në marrëdhëniet juridike që shteti shqiptar do të krijojë në të ardhmen me organizatat ndërkombëtare. Aktualisht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në marrëveshjet e nënshkruara me organizatat ndërkombëtare është përdorur si bazë</w:t>
      </w:r>
      <w:r>
        <w:rPr>
          <w:rFonts w:ascii="Times New Roman" w:hAnsi="Times New Roman"/>
          <w:sz w:val="28"/>
          <w:szCs w:val="28"/>
          <w:lang w:val="sq-AL"/>
        </w:rPr>
        <w:t xml:space="preserve"> ligjore ko</w:t>
      </w:r>
      <w:r w:rsidRPr="00536D7C">
        <w:rPr>
          <w:rFonts w:ascii="Times New Roman" w:hAnsi="Times New Roman"/>
          <w:sz w:val="28"/>
          <w:szCs w:val="28"/>
          <w:lang w:val="sq-AL"/>
        </w:rPr>
        <w:t>nventa e Vjenës “Për të drejtën e traktateve”, por në zhvillimet e sotme të marrëdhënieve ndërkombëtare ku roli i vetë organizatave ndërkombëtare ka marrë një dimension të ri, aderimi në kët</w:t>
      </w:r>
      <w:r>
        <w:rPr>
          <w:rFonts w:ascii="Times New Roman" w:hAnsi="Times New Roman"/>
          <w:sz w:val="28"/>
          <w:szCs w:val="28"/>
          <w:lang w:val="sq-AL"/>
        </w:rPr>
        <w:t>ë k</w:t>
      </w:r>
      <w:r w:rsidRPr="00536D7C">
        <w:rPr>
          <w:rFonts w:ascii="Times New Roman" w:hAnsi="Times New Roman"/>
          <w:sz w:val="28"/>
          <w:szCs w:val="28"/>
          <w:lang w:val="sq-AL"/>
        </w:rPr>
        <w:t>onventë del si një domosdoshmëri në punën e Ministrisë së Punëve të Jashtme.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Konventa është hartuar n</w:t>
      </w:r>
      <w:r>
        <w:rPr>
          <w:rFonts w:ascii="Times New Roman" w:hAnsi="Times New Roman"/>
          <w:sz w:val="28"/>
          <w:szCs w:val="28"/>
          <w:lang w:val="sq-AL"/>
        </w:rPr>
        <w:t>ë vitin 1986, në Vjenë, duke pas</w:t>
      </w:r>
      <w:r w:rsidRPr="00536D7C">
        <w:rPr>
          <w:rFonts w:ascii="Times New Roman" w:hAnsi="Times New Roman"/>
          <w:sz w:val="28"/>
          <w:szCs w:val="28"/>
          <w:lang w:val="sq-AL"/>
        </w:rPr>
        <w:t>ur si qëllim kryesor njohjen dhe rregullimin e marrëdhënieve juridike që krijojnë organizatat ndërkombëtare me shtetet ose ndërmjet tyre.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Konventa nuk është ende në fuqi. Shtetet dhe organizatat ndërkombëtare të cilat e kanë nënshkruar këtë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onventë aktualisht janë 42. Për hyrjen në fuqi duhen 35 ratifikime apo aderime nga shtetet (neni 85), nga të cilat ka ende vetëm 28. Megjithatë, siç ndodh me rregullat e tjera juridike ndërkombëtare,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onventa, pavarësisht nga statusi i saj formal, është pranuar përgjithësisht dhe referohet si e drejtë ndërkombëtare zakonore.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Ndër shtetet</w:t>
      </w:r>
      <w:r>
        <w:rPr>
          <w:rFonts w:ascii="Times New Roman" w:hAnsi="Times New Roman"/>
          <w:sz w:val="28"/>
          <w:szCs w:val="28"/>
          <w:lang w:val="sq-AL"/>
        </w:rPr>
        <w:t xml:space="preserve"> që janë palë përmendim: Kroacinë, Greqinë</w:t>
      </w:r>
      <w:r w:rsidRPr="00536D7C">
        <w:rPr>
          <w:rFonts w:ascii="Times New Roman" w:hAnsi="Times New Roman"/>
          <w:sz w:val="28"/>
          <w:szCs w:val="28"/>
          <w:lang w:val="sq-AL"/>
        </w:rPr>
        <w:t>, Mali</w:t>
      </w:r>
      <w:r>
        <w:rPr>
          <w:rFonts w:ascii="Times New Roman" w:hAnsi="Times New Roman"/>
          <w:sz w:val="28"/>
          <w:szCs w:val="28"/>
          <w:lang w:val="sq-AL"/>
        </w:rPr>
        <w:t>n e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Zi, Serbi</w:t>
      </w:r>
      <w:r>
        <w:rPr>
          <w:rFonts w:ascii="Times New Roman" w:hAnsi="Times New Roman"/>
          <w:sz w:val="28"/>
          <w:szCs w:val="28"/>
          <w:lang w:val="sq-AL"/>
        </w:rPr>
        <w:t>në</w:t>
      </w:r>
      <w:r w:rsidRPr="00536D7C">
        <w:rPr>
          <w:rFonts w:ascii="Times New Roman" w:hAnsi="Times New Roman"/>
          <w:sz w:val="28"/>
          <w:szCs w:val="28"/>
          <w:lang w:val="sq-AL"/>
        </w:rPr>
        <w:t>, Itali</w:t>
      </w:r>
      <w:r>
        <w:rPr>
          <w:rFonts w:ascii="Times New Roman" w:hAnsi="Times New Roman"/>
          <w:sz w:val="28"/>
          <w:szCs w:val="28"/>
          <w:lang w:val="sq-AL"/>
        </w:rPr>
        <w:t>në</w:t>
      </w:r>
      <w:r w:rsidRPr="00536D7C">
        <w:rPr>
          <w:rFonts w:ascii="Times New Roman" w:hAnsi="Times New Roman"/>
          <w:sz w:val="28"/>
          <w:szCs w:val="28"/>
          <w:lang w:val="sq-AL"/>
        </w:rPr>
        <w:t>, Hungari</w:t>
      </w:r>
      <w:r>
        <w:rPr>
          <w:rFonts w:ascii="Times New Roman" w:hAnsi="Times New Roman"/>
          <w:sz w:val="28"/>
          <w:szCs w:val="28"/>
          <w:lang w:val="sq-AL"/>
        </w:rPr>
        <w:t>në</w:t>
      </w:r>
      <w:r w:rsidRPr="00536D7C">
        <w:rPr>
          <w:rFonts w:ascii="Times New Roman" w:hAnsi="Times New Roman"/>
          <w:sz w:val="28"/>
          <w:szCs w:val="28"/>
          <w:lang w:val="sq-AL"/>
        </w:rPr>
        <w:t>, Qipro</w:t>
      </w:r>
      <w:r>
        <w:rPr>
          <w:rFonts w:ascii="Times New Roman" w:hAnsi="Times New Roman"/>
          <w:sz w:val="28"/>
          <w:szCs w:val="28"/>
          <w:lang w:val="sq-AL"/>
        </w:rPr>
        <w:t>n, Republikën Çeke, Danimarkën, Maltën</w:t>
      </w:r>
      <w:r w:rsidRPr="00536D7C">
        <w:rPr>
          <w:rFonts w:ascii="Times New Roman" w:hAnsi="Times New Roman"/>
          <w:sz w:val="28"/>
          <w:szCs w:val="28"/>
          <w:lang w:val="sq-AL"/>
        </w:rPr>
        <w:t>, Maroku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536D7C">
        <w:rPr>
          <w:rFonts w:ascii="Times New Roman" w:hAnsi="Times New Roman"/>
          <w:sz w:val="28"/>
          <w:szCs w:val="28"/>
          <w:lang w:val="sq-AL"/>
        </w:rPr>
        <w:t>, Britani</w:t>
      </w:r>
      <w:r>
        <w:rPr>
          <w:rFonts w:ascii="Times New Roman" w:hAnsi="Times New Roman"/>
          <w:sz w:val="28"/>
          <w:szCs w:val="28"/>
          <w:lang w:val="sq-AL"/>
        </w:rPr>
        <w:t>në e Madhe, Holandën</w:t>
      </w:r>
      <w:r w:rsidRPr="00536D7C">
        <w:rPr>
          <w:rFonts w:ascii="Times New Roman" w:hAnsi="Times New Roman"/>
          <w:sz w:val="28"/>
          <w:szCs w:val="28"/>
          <w:lang w:val="sq-AL"/>
        </w:rPr>
        <w:t>, Egjipti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etj. Ndër organizatat palë në këtë konventë përmendim: Këshilli</w:t>
      </w:r>
      <w:r>
        <w:rPr>
          <w:rFonts w:ascii="Times New Roman" w:hAnsi="Times New Roman"/>
          <w:sz w:val="28"/>
          <w:szCs w:val="28"/>
          <w:lang w:val="sq-AL"/>
        </w:rPr>
        <w:t>n e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Evropës, Agjenci</w:t>
      </w:r>
      <w:r>
        <w:rPr>
          <w:rFonts w:ascii="Times New Roman" w:hAnsi="Times New Roman"/>
          <w:sz w:val="28"/>
          <w:szCs w:val="28"/>
          <w:lang w:val="sq-AL"/>
        </w:rPr>
        <w:t xml:space="preserve">në </w:t>
      </w:r>
      <w:r w:rsidRPr="00536D7C">
        <w:rPr>
          <w:rFonts w:ascii="Times New Roman" w:hAnsi="Times New Roman"/>
          <w:sz w:val="28"/>
          <w:szCs w:val="28"/>
          <w:lang w:val="sq-AL"/>
        </w:rPr>
        <w:t>Ndërkombëtare</w:t>
      </w:r>
      <w:r>
        <w:rPr>
          <w:rFonts w:ascii="Times New Roman" w:hAnsi="Times New Roman"/>
          <w:sz w:val="28"/>
          <w:szCs w:val="28"/>
          <w:lang w:val="sq-AL"/>
        </w:rPr>
        <w:t xml:space="preserve"> për Energjinë Atomike; Agjencinë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Ndërkombëtare </w:t>
      </w:r>
      <w:r>
        <w:rPr>
          <w:rFonts w:ascii="Times New Roman" w:hAnsi="Times New Roman"/>
          <w:sz w:val="28"/>
          <w:szCs w:val="28"/>
          <w:lang w:val="sq-AL"/>
        </w:rPr>
        <w:t>të Aviacionit Civil, Organizatën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Ndërkombëtare </w:t>
      </w:r>
      <w:r>
        <w:rPr>
          <w:rFonts w:ascii="Times New Roman" w:hAnsi="Times New Roman"/>
          <w:sz w:val="28"/>
          <w:szCs w:val="28"/>
          <w:lang w:val="sq-AL"/>
        </w:rPr>
        <w:t>të Policisë Penale, Organizatën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Ndërkombëtare </w:t>
      </w:r>
      <w:r>
        <w:rPr>
          <w:rFonts w:ascii="Times New Roman" w:hAnsi="Times New Roman"/>
          <w:sz w:val="28"/>
          <w:szCs w:val="28"/>
          <w:lang w:val="sq-AL"/>
        </w:rPr>
        <w:t>të Punës, Organizatën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Ndërkombëtare Detare, Unioni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Ndërkombëtar </w:t>
      </w:r>
      <w:r>
        <w:rPr>
          <w:rFonts w:ascii="Times New Roman" w:hAnsi="Times New Roman"/>
          <w:sz w:val="28"/>
          <w:szCs w:val="28"/>
          <w:lang w:val="sq-AL"/>
        </w:rPr>
        <w:t>të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Telekomunikacionit etj.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Konventa ka mbajtur parasysh dy faktorë kryesorë: 1) shmang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en e mospërputhjeve të mundshme midis dispozitave paralele me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>onventën e Vjenës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të vitit 1969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“Për të drejtën e traktateve</w:t>
      </w:r>
      <w:r>
        <w:rPr>
          <w:rFonts w:ascii="Times New Roman" w:hAnsi="Times New Roman"/>
          <w:sz w:val="28"/>
          <w:szCs w:val="28"/>
          <w:lang w:val="sq-AL"/>
        </w:rPr>
        <w:t>”;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2) sigurimin që dispozitat specifike në lidhje me organizatat ndërkombëtare të jenë të pranueshme për numrin më të madh të mundshëm të pjesëmarrësve.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Tashmë me këtë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>onventë edhe organizatat ndërkombëtare janë subjekte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që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për zgjidhjen e mosmarrëveshjeve</w:t>
      </w:r>
      <w:r>
        <w:rPr>
          <w:rFonts w:ascii="Times New Roman" w:hAnsi="Times New Roman"/>
          <w:sz w:val="28"/>
          <w:szCs w:val="28"/>
          <w:lang w:val="sq-AL"/>
        </w:rPr>
        <w:t>, mund t’</w:t>
      </w:r>
      <w:r w:rsidRPr="00536D7C">
        <w:rPr>
          <w:rFonts w:ascii="Times New Roman" w:hAnsi="Times New Roman"/>
          <w:sz w:val="28"/>
          <w:szCs w:val="28"/>
          <w:lang w:val="sq-AL"/>
        </w:rPr>
        <w:t>i drejtohen Gjykatës Ndërkombëtare të Drejtësisë, me personalitetin e vet juridik ose nëpërmjet shteteve anëtare të OKB-së. Nëse kërkesa nuk do të pranohet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atëherë çështja do të zgjidhet nëpërmjet arbitrazhit.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Që në preambulën e saj,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onventa njeh rëndësinë gjithnjë </w:t>
      </w:r>
      <w:r>
        <w:rPr>
          <w:rFonts w:ascii="Times New Roman" w:hAnsi="Times New Roman"/>
          <w:sz w:val="28"/>
          <w:szCs w:val="28"/>
          <w:lang w:val="sq-AL"/>
        </w:rPr>
        <w:t xml:space="preserve">e 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në rritje të traktateve si burim i së drejtës ndërkombëtare dhe riafirmon se </w:t>
      </w:r>
      <w:r>
        <w:rPr>
          <w:rFonts w:ascii="Times New Roman" w:hAnsi="Times New Roman"/>
          <w:sz w:val="28"/>
          <w:szCs w:val="28"/>
          <w:lang w:val="sq-AL"/>
        </w:rPr>
        <w:t>“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organizatat ndërkombëtare kanë zotësinë për të lidhur traktate, gjë e cila është e nevojshme për ushtrimin e funksioneve dhe </w:t>
      </w:r>
      <w:r>
        <w:rPr>
          <w:rFonts w:ascii="Times New Roman" w:hAnsi="Times New Roman"/>
          <w:sz w:val="28"/>
          <w:szCs w:val="28"/>
          <w:lang w:val="sq-AL"/>
        </w:rPr>
        <w:t>përmbushjen e qëllimeve të tyre”</w:t>
      </w:r>
      <w:r w:rsidRPr="00536D7C">
        <w:rPr>
          <w:rFonts w:ascii="Times New Roman" w:hAnsi="Times New Roman"/>
          <w:sz w:val="28"/>
          <w:szCs w:val="28"/>
          <w:lang w:val="sq-AL"/>
        </w:rPr>
        <w:t>. Për më tepër, traktatet ndërmjet shteteve</w:t>
      </w:r>
      <w:r>
        <w:rPr>
          <w:rFonts w:ascii="Times New Roman" w:hAnsi="Times New Roman"/>
          <w:sz w:val="28"/>
          <w:szCs w:val="28"/>
          <w:lang w:val="sq-AL"/>
        </w:rPr>
        <w:t xml:space="preserve"> dhe organizatave ndërkombëtare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ose ndërmjet vetë organizatave ndërkombëtare shikohen si një mjet i dobishëm për zhvillimin e marrëdhënieve ndërkombëtare dhe për të siguruar kushtet për një bashkëpunim paqësor ndërmjet palëve.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Konventa është e ndarë në 86 nene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të organizuara në 12 pjesë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dhe 1 shtojcë.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72 nenet e para të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onventës përmbajnë </w:t>
      </w:r>
      <w:r w:rsidRPr="00536D7C">
        <w:rPr>
          <w:rFonts w:ascii="Times New Roman" w:hAnsi="Times New Roman"/>
          <w:i/>
          <w:sz w:val="28"/>
          <w:szCs w:val="28"/>
          <w:lang w:val="sq-AL"/>
        </w:rPr>
        <w:t>“mutatis mutandis</w:t>
      </w:r>
      <w:r w:rsidRPr="00536D7C">
        <w:rPr>
          <w:rFonts w:ascii="Times New Roman" w:hAnsi="Times New Roman"/>
          <w:sz w:val="28"/>
          <w:szCs w:val="28"/>
          <w:lang w:val="sq-AL"/>
        </w:rPr>
        <w:t>”</w:t>
      </w:r>
      <w:r>
        <w:rPr>
          <w:rFonts w:ascii="Times New Roman" w:hAnsi="Times New Roman"/>
          <w:sz w:val="28"/>
          <w:szCs w:val="28"/>
          <w:lang w:val="sq-AL"/>
        </w:rPr>
        <w:t xml:space="preserve"> tekstin e neneve përkatëse të k</w:t>
      </w:r>
      <w:r w:rsidRPr="00536D7C">
        <w:rPr>
          <w:rFonts w:ascii="Times New Roman" w:hAnsi="Times New Roman"/>
          <w:sz w:val="28"/>
          <w:szCs w:val="28"/>
          <w:lang w:val="sq-AL"/>
        </w:rPr>
        <w:t>onventës së Vjenës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të vitit 1969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“Për të drejtën e traktateve”, me miratimin e përshtatshëm të paragrafëve shtesë duke iu referuar organizatave ndërkombëtare. Koncepti i ri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që është përfshirë në këtë</w:t>
      </w:r>
      <w:r>
        <w:rPr>
          <w:rFonts w:ascii="Times New Roman" w:hAnsi="Times New Roman"/>
          <w:sz w:val="28"/>
          <w:szCs w:val="28"/>
          <w:lang w:val="sq-AL"/>
        </w:rPr>
        <w:t xml:space="preserve"> k</w:t>
      </w:r>
      <w:r w:rsidRPr="00536D7C">
        <w:rPr>
          <w:rFonts w:ascii="Times New Roman" w:hAnsi="Times New Roman"/>
          <w:sz w:val="28"/>
          <w:szCs w:val="28"/>
          <w:lang w:val="sq-AL"/>
        </w:rPr>
        <w:t>onventë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është terminologjia e re që nuk kishte ekzistuar më parë për marrëdhëniet e organizat</w:t>
      </w:r>
      <w:r>
        <w:rPr>
          <w:rFonts w:ascii="Times New Roman" w:hAnsi="Times New Roman"/>
          <w:sz w:val="28"/>
          <w:szCs w:val="28"/>
          <w:lang w:val="sq-AL"/>
        </w:rPr>
        <w:t>ave ndërkombëtare, të tilla si “aktin e konfirmimit formal”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(neni 2, paragrafi 1(b). </w:t>
      </w:r>
    </w:p>
    <w:p w:rsidR="00363D85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b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Style w:val="text"/>
          <w:rFonts w:ascii="Times New Roman" w:hAnsi="Times New Roman"/>
          <w:b/>
          <w:sz w:val="28"/>
          <w:szCs w:val="28"/>
          <w:lang w:val="sq-AL"/>
        </w:rPr>
        <w:t xml:space="preserve">Pjesa I: Qëllimi, </w:t>
      </w:r>
      <w:r>
        <w:rPr>
          <w:rStyle w:val="text"/>
          <w:rFonts w:ascii="Times New Roman" w:hAnsi="Times New Roman"/>
          <w:b/>
          <w:sz w:val="28"/>
          <w:szCs w:val="28"/>
          <w:lang w:val="sq-AL"/>
        </w:rPr>
        <w:t>përdorimi i termave, fuqia jo</w:t>
      </w:r>
      <w:r w:rsidRPr="00536D7C">
        <w:rPr>
          <w:rStyle w:val="text"/>
          <w:rFonts w:ascii="Times New Roman" w:hAnsi="Times New Roman"/>
          <w:b/>
          <w:sz w:val="28"/>
          <w:szCs w:val="28"/>
          <w:lang w:val="sq-AL"/>
        </w:rPr>
        <w:t xml:space="preserve">prapavepruese dhe </w:t>
      </w:r>
      <w:r>
        <w:rPr>
          <w:rStyle w:val="text"/>
          <w:rFonts w:ascii="Times New Roman" w:hAnsi="Times New Roman"/>
          <w:b/>
          <w:sz w:val="28"/>
          <w:szCs w:val="28"/>
          <w:lang w:val="sq-AL"/>
        </w:rPr>
        <w:t>m</w:t>
      </w:r>
      <w:r w:rsidRPr="00536D7C">
        <w:rPr>
          <w:rStyle w:val="text"/>
          <w:rFonts w:ascii="Times New Roman" w:hAnsi="Times New Roman"/>
          <w:b/>
          <w:sz w:val="28"/>
          <w:szCs w:val="28"/>
          <w:lang w:val="sq-AL"/>
        </w:rPr>
        <w:t xml:space="preserve">arrëveshjet </w:t>
      </w:r>
      <w:r>
        <w:rPr>
          <w:rStyle w:val="text"/>
          <w:rFonts w:ascii="Times New Roman" w:hAnsi="Times New Roman"/>
          <w:b/>
          <w:sz w:val="28"/>
          <w:szCs w:val="28"/>
          <w:lang w:val="sq-AL"/>
        </w:rPr>
        <w:t>n</w:t>
      </w:r>
      <w:r w:rsidRPr="00536D7C">
        <w:rPr>
          <w:rStyle w:val="text"/>
          <w:rFonts w:ascii="Times New Roman" w:hAnsi="Times New Roman"/>
          <w:b/>
          <w:sz w:val="28"/>
          <w:szCs w:val="28"/>
          <w:lang w:val="sq-AL"/>
        </w:rPr>
        <w:t xml:space="preserve">dërkombëtare që nuk janë në qëllimin e kësaj </w:t>
      </w:r>
      <w:r>
        <w:rPr>
          <w:rStyle w:val="text"/>
          <w:rFonts w:ascii="Times New Roman" w:hAnsi="Times New Roman"/>
          <w:b/>
          <w:sz w:val="28"/>
          <w:szCs w:val="28"/>
          <w:lang w:val="sq-AL"/>
        </w:rPr>
        <w:t>k</w:t>
      </w:r>
      <w:r w:rsidRPr="00536D7C">
        <w:rPr>
          <w:rStyle w:val="text"/>
          <w:rFonts w:ascii="Times New Roman" w:hAnsi="Times New Roman"/>
          <w:b/>
          <w:sz w:val="28"/>
          <w:szCs w:val="28"/>
          <w:lang w:val="sq-AL"/>
        </w:rPr>
        <w:t>onvente</w:t>
      </w:r>
    </w:p>
    <w:p w:rsidR="00363D85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>Konventa jep përkufizimin e ter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mave të përdorshëm për ta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bërë më të qartë interpretimin e neneve të saj. </w:t>
      </w:r>
    </w:p>
    <w:p w:rsidR="00363D85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>Përkufizimi për rregullat e organizatës parashikohet në nenin 2, paragrafi 1(j), i cili përfshin praktikën e krijuar deri më atë kohë pë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rsa u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përket rregullave të organizatës.</w:t>
      </w:r>
    </w:p>
    <w:p w:rsidR="00363D85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  <w:r>
        <w:rPr>
          <w:rStyle w:val="text"/>
          <w:rFonts w:ascii="Times New Roman" w:hAnsi="Times New Roman"/>
          <w:sz w:val="28"/>
          <w:szCs w:val="28"/>
          <w:lang w:val="sq-AL"/>
        </w:rPr>
        <w:t>Në nenin 3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parashikohen edhe marrëveshjet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 xml:space="preserve"> të cilat nuk mbulohen nga kjo k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>onventë në rastet kur marrëveshjet ndërkombëtare kanë subjekte të tyre, përveç shteteve dhe organizatave ndërkombë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tare,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apo dhe në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 xml:space="preserve"> rastin kur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marrëveshjet ndërkombëtare nuk janë në formë të shkruar. </w:t>
      </w:r>
    </w:p>
    <w:p w:rsidR="00363D85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b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Style w:val="text"/>
          <w:rFonts w:ascii="Times New Roman" w:hAnsi="Times New Roman"/>
          <w:b/>
          <w:sz w:val="28"/>
          <w:szCs w:val="28"/>
          <w:lang w:val="sq-AL"/>
        </w:rPr>
        <w:t>Pjesa II: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 xml:space="preserve"> Lidhja dhe hyrja në fuqi e traktateve</w:t>
      </w:r>
    </w:p>
    <w:p w:rsidR="00363D85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>Dispozitat kryesore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që përcaktojnë fushën e veprimit të aftësisë së një organizate për të lidhur një traktat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janë parashikuar në nenin 6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të 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konventës, i cili parashikon se “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>aftësia e një organizate ndërkombëtare për të lidhur traktate drejtohet n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ga rregullat e kësaj organizate”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. </w:t>
      </w:r>
    </w:p>
    <w:p w:rsidR="00363D85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Dispozitat vërtetojnë se objekti i traktatit që një organizatë ka aftësi për të nënshkruar është përcaktuar nga instrumenti i saj përbërës dhe rregullat, por sugjerojnë se personaliteti i saj ndërkombëtar buron nga e drejta e përgjithshme ndërkombëtare. Megjithatë është 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e rëndësishme të theksohet se konventa përdor termin “rregullat e organizatës”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në dy kuptime. </w:t>
      </w:r>
    </w:p>
    <w:p w:rsidR="00363D85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Style w:val="text"/>
          <w:rFonts w:ascii="Times New Roman" w:hAnsi="Times New Roman"/>
          <w:sz w:val="28"/>
          <w:szCs w:val="28"/>
          <w:lang w:val="sq-AL"/>
        </w:rPr>
      </w:pP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>Në disa nene (p.sh.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nenet 6 ose 39, para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grafi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2), termi tregon një kufizim kualifikues të së drejtës ndërkombëtare, ndërsa në nenet e tjera (neni 27, para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grafi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2 dhe neni 46, para</w:t>
      </w:r>
      <w:r>
        <w:rPr>
          <w:rStyle w:val="text"/>
          <w:rFonts w:ascii="Times New Roman" w:hAnsi="Times New Roman"/>
          <w:sz w:val="28"/>
          <w:szCs w:val="28"/>
          <w:lang w:val="sq-AL"/>
        </w:rPr>
        <w:t>grafi</w:t>
      </w:r>
      <w:r w:rsidRPr="00536D7C">
        <w:rPr>
          <w:rStyle w:val="text"/>
          <w:rFonts w:ascii="Times New Roman" w:hAnsi="Times New Roman"/>
          <w:sz w:val="28"/>
          <w:szCs w:val="28"/>
          <w:lang w:val="sq-AL"/>
        </w:rPr>
        <w:t xml:space="preserve"> 2), rregullat janë trajtuar si në të drejtën e brendshme të shteteve.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>Pjesa III: Respektimi, zbatimi dhe interpretimi i traktateve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, si </w:t>
      </w:r>
      <w:r w:rsidRPr="00536D7C">
        <w:rPr>
          <w:rFonts w:ascii="Times New Roman" w:hAnsi="Times New Roman"/>
          <w:b/>
          <w:sz w:val="28"/>
          <w:szCs w:val="28"/>
          <w:lang w:val="sq-AL"/>
        </w:rPr>
        <w:t>dhe rezervat që mund të pa</w:t>
      </w:r>
      <w:r>
        <w:rPr>
          <w:rFonts w:ascii="Times New Roman" w:hAnsi="Times New Roman"/>
          <w:b/>
          <w:sz w:val="28"/>
          <w:szCs w:val="28"/>
          <w:lang w:val="sq-AL"/>
        </w:rPr>
        <w:t>raqesin shtetet ndaj traktateve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Style w:val="hps"/>
          <w:rFonts w:ascii="Times New Roman" w:hAnsi="Times New Roman"/>
          <w:sz w:val="28"/>
          <w:szCs w:val="28"/>
          <w:lang w:val="sq-AL"/>
        </w:rPr>
        <w:t>Kjo pjesë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536D7C">
        <w:rPr>
          <w:rStyle w:val="hps"/>
          <w:rFonts w:ascii="Times New Roman" w:hAnsi="Times New Roman"/>
          <w:sz w:val="28"/>
          <w:szCs w:val="28"/>
          <w:lang w:val="sq-AL"/>
        </w:rPr>
        <w:t>përmban një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536D7C">
        <w:rPr>
          <w:rStyle w:val="hps"/>
          <w:rFonts w:ascii="Times New Roman" w:hAnsi="Times New Roman"/>
          <w:sz w:val="28"/>
          <w:szCs w:val="28"/>
          <w:lang w:val="sq-AL"/>
        </w:rPr>
        <w:t>sërë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536D7C">
        <w:rPr>
          <w:rStyle w:val="hps"/>
          <w:rFonts w:ascii="Times New Roman" w:hAnsi="Times New Roman"/>
          <w:sz w:val="28"/>
          <w:szCs w:val="28"/>
          <w:lang w:val="sq-AL"/>
        </w:rPr>
        <w:t>dispozitash</w:t>
      </w:r>
      <w:r>
        <w:rPr>
          <w:rStyle w:val="hps"/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ku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parashiko</w:t>
      </w:r>
      <w:r>
        <w:rPr>
          <w:rFonts w:ascii="Times New Roman" w:hAnsi="Times New Roman"/>
          <w:sz w:val="28"/>
          <w:szCs w:val="28"/>
          <w:lang w:val="sq-AL"/>
        </w:rPr>
        <w:t>hen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zbatimi</w:t>
      </w:r>
      <w:r>
        <w:rPr>
          <w:rFonts w:ascii="Times New Roman" w:hAnsi="Times New Roman"/>
          <w:sz w:val="28"/>
          <w:szCs w:val="28"/>
          <w:lang w:val="sq-AL"/>
        </w:rPr>
        <w:t xml:space="preserve"> i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traktateve, shtrirj</w:t>
      </w:r>
      <w:r>
        <w:rPr>
          <w:rFonts w:ascii="Times New Roman" w:hAnsi="Times New Roman"/>
          <w:sz w:val="28"/>
          <w:szCs w:val="28"/>
          <w:lang w:val="sq-AL"/>
        </w:rPr>
        <w:t>a territoriale e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traktateve dhe zbatimi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traktateve pasuese për të njëjtën çështje. </w:t>
      </w:r>
      <w:r w:rsidRPr="00536D7C">
        <w:rPr>
          <w:rStyle w:val="hps"/>
          <w:rFonts w:ascii="Times New Roman" w:hAnsi="Times New Roman"/>
          <w:sz w:val="28"/>
          <w:szCs w:val="28"/>
          <w:lang w:val="sq-AL"/>
        </w:rPr>
        <w:t>Nenet 24-25 parashikojnë hyrjen në fuqi dhe zbatimin e përkohshëm të traktateve.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Nenet 26-33 parashikojnë parimin “</w:t>
      </w:r>
      <w:r w:rsidRPr="00536D7C">
        <w:rPr>
          <w:rFonts w:ascii="Times New Roman" w:hAnsi="Times New Roman"/>
          <w:i/>
          <w:sz w:val="28"/>
          <w:szCs w:val="28"/>
          <w:lang w:val="sq-AL"/>
        </w:rPr>
        <w:t>pacta sunt servanda</w:t>
      </w:r>
      <w:r w:rsidRPr="00536D7C">
        <w:rPr>
          <w:rFonts w:ascii="Times New Roman" w:hAnsi="Times New Roman"/>
          <w:sz w:val="28"/>
          <w:szCs w:val="28"/>
          <w:lang w:val="sq-AL"/>
        </w:rPr>
        <w:t>”, duke u rikujtuar shteteve se dispozitat e së drejtës së brendshme nuk duhet të shërbejnë si justifikim për përmbushjen e detyrimeve që rrjedhin nga traktatet. Traktati nuk ka fuqi prapavepruese, ka fuqi juridike për të gjithë</w:t>
      </w:r>
      <w:r>
        <w:rPr>
          <w:rFonts w:ascii="Times New Roman" w:hAnsi="Times New Roman"/>
          <w:sz w:val="28"/>
          <w:szCs w:val="28"/>
          <w:lang w:val="sq-AL"/>
        </w:rPr>
        <w:t xml:space="preserve"> territorin e s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htetit </w:t>
      </w:r>
      <w:r>
        <w:rPr>
          <w:rFonts w:ascii="Times New Roman" w:hAnsi="Times New Roman"/>
          <w:sz w:val="28"/>
          <w:szCs w:val="28"/>
          <w:lang w:val="sq-AL"/>
        </w:rPr>
        <w:t>p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alë dhe respekton parimin e zbatimit të dispozitave të shprehura, në rastin e traktateve pasuese për të njëjtën çështje.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Interpretimi i traktatit do të bëhet në mirëbesim nga palët në përputhje me kuptimin e zakonshëm që u jepet termave të traktatit në kontekstin e tyre dhe në dritën e objektit dhe qëllimit të tij, duke u bazuar në rregullat e përgjithshme të interpretimit dhe </w:t>
      </w:r>
      <w:r>
        <w:rPr>
          <w:rFonts w:ascii="Times New Roman" w:hAnsi="Times New Roman"/>
          <w:sz w:val="28"/>
          <w:szCs w:val="28"/>
          <w:lang w:val="sq-AL"/>
        </w:rPr>
        <w:t xml:space="preserve">në 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mjetet plotësuese të tij. 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>Pjesa IV: Amendamentet dhe modifikimet e traktateve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 xml:space="preserve">  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Në traktatet dypalëshe parashikohet që palët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në çdo rast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mund të ndryshojnë traktatin me një marrëveshje ndërmjet tyre, përveç rasteve kur traktati parashikon ndryshe.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Në rastin e traktateve shumëpalëshe, përveç rasteve kur traktati parashikon ndryshe, marrëveshja për të amenduar</w:t>
      </w:r>
      <w:r>
        <w:rPr>
          <w:rFonts w:ascii="Times New Roman" w:hAnsi="Times New Roman"/>
          <w:sz w:val="28"/>
          <w:szCs w:val="28"/>
          <w:lang w:val="sq-AL"/>
        </w:rPr>
        <w:t xml:space="preserve"> një traktat shumëpalësh u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bëhet me dije të gjitha shteteve kontraktuese dhe organizatave, por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në çdo rast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nuk detyron asnjë nga shtetet ose organizatat të bëhen palë në marrëveshjet e ndryshuara.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 xml:space="preserve">Pjesa V: Pavlefshmëria, përfundimi dhe pezullimi i funksionimit të traktatit 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Në këtë </w:t>
      </w:r>
      <w:r>
        <w:rPr>
          <w:rFonts w:ascii="Times New Roman" w:hAnsi="Times New Roman"/>
          <w:sz w:val="28"/>
          <w:szCs w:val="28"/>
          <w:lang w:val="sq-AL"/>
        </w:rPr>
        <w:t>pjesë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, në nenet 46-53, jepen në mënyrë të </w:t>
      </w:r>
      <w:r>
        <w:rPr>
          <w:rFonts w:ascii="Times New Roman" w:hAnsi="Times New Roman"/>
          <w:sz w:val="28"/>
          <w:szCs w:val="28"/>
          <w:lang w:val="sq-AL"/>
        </w:rPr>
        <w:t>hollësishme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rastet e pavlefshmërisë së një traktati, që bie ndesh me një normë të pakundërshtueshme të së drejtës ndërkombëtare të përgjithshme (</w:t>
      </w:r>
      <w:r w:rsidRPr="00536D7C">
        <w:rPr>
          <w:rFonts w:ascii="Times New Roman" w:hAnsi="Times New Roman"/>
          <w:i/>
          <w:sz w:val="28"/>
          <w:szCs w:val="28"/>
          <w:lang w:val="sq-AL"/>
        </w:rPr>
        <w:t xml:space="preserve">jus cogens), </w:t>
      </w:r>
      <w:r w:rsidRPr="00536D7C">
        <w:rPr>
          <w:rFonts w:ascii="Times New Roman" w:hAnsi="Times New Roman"/>
          <w:sz w:val="28"/>
          <w:szCs w:val="28"/>
          <w:lang w:val="sq-AL"/>
        </w:rPr>
        <w:t>e cila mund të modifikohet vetëm me një normë pasuese të përgjithshme të së drejtës ndërkombëtare që ka të njëjtin karakter.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Nenet 54-60 pasqyrojnë rastet e përfundimit apo </w:t>
      </w:r>
      <w:r>
        <w:rPr>
          <w:rFonts w:ascii="Times New Roman" w:hAnsi="Times New Roman"/>
          <w:sz w:val="28"/>
          <w:szCs w:val="28"/>
          <w:lang w:val="sq-AL"/>
        </w:rPr>
        <w:t xml:space="preserve">të 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pezullimit të fuqisë vepruese të traktatit, me pëlqimin e palëve, pamundësinë e përmbushjes, ndryshimin rrënjësor të rrethanave etj. 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Procedura e zgjidhjes së mosmarrëveshjeve, e parashikuar në nenin 66 dhe në</w:t>
      </w:r>
      <w:r>
        <w:rPr>
          <w:rFonts w:ascii="Times New Roman" w:hAnsi="Times New Roman"/>
          <w:sz w:val="28"/>
          <w:szCs w:val="28"/>
          <w:lang w:val="sq-AL"/>
        </w:rPr>
        <w:t xml:space="preserve"> aneksin e k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onventës, ndjek modelin e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onventës së vitit 1969, por në rastin e mosmarrëveshjeve </w:t>
      </w:r>
      <w:r w:rsidRPr="00536D7C">
        <w:rPr>
          <w:rFonts w:ascii="Times New Roman" w:hAnsi="Times New Roman"/>
          <w:i/>
          <w:sz w:val="28"/>
          <w:szCs w:val="28"/>
          <w:lang w:val="sq-AL"/>
        </w:rPr>
        <w:t>“jus cogens”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është komplekse. Duke qenë se organizatat ndërkombëtare nuk kanë</w:t>
      </w:r>
      <w:r>
        <w:rPr>
          <w:rFonts w:ascii="Times New Roman" w:hAnsi="Times New Roman"/>
          <w:sz w:val="28"/>
          <w:szCs w:val="28"/>
          <w:lang w:val="sq-AL"/>
        </w:rPr>
        <w:t xml:space="preserve"> pas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ur </w:t>
      </w:r>
      <w:r>
        <w:rPr>
          <w:rFonts w:ascii="Times New Roman" w:hAnsi="Times New Roman"/>
          <w:sz w:val="28"/>
          <w:szCs w:val="28"/>
          <w:lang w:val="sq-AL"/>
        </w:rPr>
        <w:t>përvoj</w:t>
      </w:r>
      <w:r w:rsidRPr="00536D7C">
        <w:rPr>
          <w:rFonts w:ascii="Times New Roman" w:hAnsi="Times New Roman"/>
          <w:sz w:val="28"/>
          <w:szCs w:val="28"/>
          <w:lang w:val="sq-AL"/>
        </w:rPr>
        <w:t>a të mëparshme në Gjykatë</w:t>
      </w:r>
      <w:r>
        <w:rPr>
          <w:rFonts w:ascii="Times New Roman" w:hAnsi="Times New Roman"/>
          <w:sz w:val="28"/>
          <w:szCs w:val="28"/>
          <w:lang w:val="sq-AL"/>
        </w:rPr>
        <w:t>n N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dërkombëtare të Drejtësisë do të zbatohet si normë e detyrueshme opinioni këshillimor i Gjykatës. Megjithatë, jo të gjitha organizatat ndërkombëtare janë të autorizuara të kërkojnë një opinion këshillimor të Gjykatës; shumë organizata e bëjnë këtë nëpërmjet një shteti anëtar të OKB-së. Nëse kërkesa nuk do të pranohet, mosmarrëveshja mund të paraqitet nga secila prej palëve në arbitrazh, në përputhje me dispozitat e parashikuara në aneksin e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onventës. </w:t>
      </w:r>
    </w:p>
    <w:p w:rsidR="00363D85" w:rsidRDefault="00363D85" w:rsidP="00D239FA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>Pjesa VI: Dispozita të përgjithshme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Në nenin 73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u pa e arsyeshme të rregullohej marrëdhënia e kësaj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onvente me </w:t>
      </w:r>
      <w:r>
        <w:rPr>
          <w:rFonts w:ascii="Times New Roman" w:hAnsi="Times New Roman"/>
          <w:sz w:val="28"/>
          <w:szCs w:val="28"/>
          <w:lang w:val="sq-AL"/>
        </w:rPr>
        <w:t xml:space="preserve"> k</w:t>
      </w:r>
      <w:r w:rsidRPr="00536D7C">
        <w:rPr>
          <w:rFonts w:ascii="Times New Roman" w:hAnsi="Times New Roman"/>
          <w:sz w:val="28"/>
          <w:szCs w:val="28"/>
          <w:lang w:val="sq-AL"/>
        </w:rPr>
        <w:t>onventën e Vjenës</w:t>
      </w:r>
      <w:r>
        <w:rPr>
          <w:rFonts w:ascii="Times New Roman" w:hAnsi="Times New Roman"/>
          <w:sz w:val="28"/>
          <w:szCs w:val="28"/>
          <w:lang w:val="sq-AL"/>
        </w:rPr>
        <w:t>, e vitit 1969,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“Për të drejtën e traktateve”, në rastin e traktateve shumëpalëshe, në të cilat bëjnë pjesë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përveç shteteve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edhe organizatat ndërkombëtare. Në këtë rast, midis shteteve palë dhe organizatave ndërkombëta</w:t>
      </w:r>
      <w:r>
        <w:rPr>
          <w:rFonts w:ascii="Times New Roman" w:hAnsi="Times New Roman"/>
          <w:sz w:val="28"/>
          <w:szCs w:val="28"/>
          <w:lang w:val="sq-AL"/>
        </w:rPr>
        <w:t>re do të zbatohen dispozitat e k</w:t>
      </w:r>
      <w:r w:rsidRPr="00536D7C">
        <w:rPr>
          <w:rFonts w:ascii="Times New Roman" w:hAnsi="Times New Roman"/>
          <w:sz w:val="28"/>
          <w:szCs w:val="28"/>
          <w:lang w:val="sq-AL"/>
        </w:rPr>
        <w:t>onventës së vitit 1969.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Konventa parashikon që marrëdhëniet midis shteteve dhe organizatave ndërkombëtare do të rregullohen nga kjo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>onventë,</w:t>
      </w:r>
      <w:r>
        <w:rPr>
          <w:rFonts w:ascii="Times New Roman" w:hAnsi="Times New Roman"/>
          <w:sz w:val="28"/>
          <w:szCs w:val="28"/>
          <w:lang w:val="sq-AL"/>
        </w:rPr>
        <w:t xml:space="preserve"> si 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dhe faktin që dispozitat e kësaj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>onvente nuk c</w:t>
      </w:r>
      <w:r>
        <w:rPr>
          <w:rFonts w:ascii="Times New Roman" w:hAnsi="Times New Roman"/>
          <w:sz w:val="28"/>
          <w:szCs w:val="28"/>
          <w:lang w:val="sq-AL"/>
        </w:rPr>
        <w:t>e</w:t>
      </w:r>
      <w:r w:rsidRPr="00536D7C">
        <w:rPr>
          <w:rFonts w:ascii="Times New Roman" w:hAnsi="Times New Roman"/>
          <w:sz w:val="28"/>
          <w:szCs w:val="28"/>
          <w:lang w:val="sq-AL"/>
        </w:rPr>
        <w:t>nojnë ndonjë detyrim në lidhje me një traktat midis një apo më shumë shteteve dhe një apo m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shumë organizatave ndërkombëtare që mund të dalin për një shtet agresor si rrjedhojë e masave të marra në përputhje me Kartën e Kombeve të Bashkuara në lidhje me sulmin e atij shteti.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 xml:space="preserve">Pjesa VII: Depozituesit, njoftimet, korrigjimet dhe regjistrimet 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Nenet 77-81 parashikojnë depozituesit e traktateve, funksionet e tyre, njoftimet dhe komunikimet, korrektimin e gabimeve në tekste apo në kopje të </w:t>
      </w:r>
      <w:r>
        <w:rPr>
          <w:rFonts w:ascii="Times New Roman" w:hAnsi="Times New Roman"/>
          <w:sz w:val="28"/>
          <w:szCs w:val="28"/>
          <w:lang w:val="sq-AL"/>
        </w:rPr>
        <w:t>c</w:t>
      </w:r>
      <w:r w:rsidRPr="00536D7C">
        <w:rPr>
          <w:rFonts w:ascii="Times New Roman" w:hAnsi="Times New Roman"/>
          <w:sz w:val="28"/>
          <w:szCs w:val="28"/>
          <w:lang w:val="sq-AL"/>
        </w:rPr>
        <w:t>ertifikuara të traktatit, si dhe mënyrën e regjistrimet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e </w:t>
      </w:r>
      <w:r>
        <w:rPr>
          <w:rFonts w:ascii="Times New Roman" w:hAnsi="Times New Roman"/>
          <w:sz w:val="28"/>
          <w:szCs w:val="28"/>
          <w:lang w:val="sq-AL"/>
        </w:rPr>
        <w:t xml:space="preserve">të </w:t>
      </w:r>
      <w:r w:rsidRPr="00536D7C">
        <w:rPr>
          <w:rFonts w:ascii="Times New Roman" w:hAnsi="Times New Roman"/>
          <w:sz w:val="28"/>
          <w:szCs w:val="28"/>
          <w:lang w:val="sq-AL"/>
        </w:rPr>
        <w:t>publikimit të traktatit. Traktatet, pas hyrjes në fuqi, duhet t</w:t>
      </w:r>
      <w:r>
        <w:rPr>
          <w:rFonts w:ascii="Times New Roman" w:hAnsi="Times New Roman"/>
          <w:sz w:val="28"/>
          <w:szCs w:val="28"/>
          <w:lang w:val="sq-AL"/>
        </w:rPr>
        <w:t>’i transmetohen s</w:t>
      </w:r>
      <w:r w:rsidRPr="00536D7C">
        <w:rPr>
          <w:rFonts w:ascii="Times New Roman" w:hAnsi="Times New Roman"/>
          <w:sz w:val="28"/>
          <w:szCs w:val="28"/>
          <w:lang w:val="sq-AL"/>
        </w:rPr>
        <w:t>ekretariatit të Kombeve të Bashkuara për regjistrim, për t</w:t>
      </w:r>
      <w:r>
        <w:rPr>
          <w:rFonts w:ascii="Times New Roman" w:hAnsi="Times New Roman"/>
          <w:sz w:val="28"/>
          <w:szCs w:val="28"/>
          <w:lang w:val="sq-AL"/>
        </w:rPr>
        <w:t>’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u skeduar apo </w:t>
      </w:r>
      <w:r>
        <w:rPr>
          <w:rFonts w:ascii="Times New Roman" w:hAnsi="Times New Roman"/>
          <w:sz w:val="28"/>
          <w:szCs w:val="28"/>
          <w:lang w:val="sq-AL"/>
        </w:rPr>
        <w:t xml:space="preserve">për t’u </w:t>
      </w:r>
      <w:r w:rsidRPr="00536D7C">
        <w:rPr>
          <w:rFonts w:ascii="Times New Roman" w:hAnsi="Times New Roman"/>
          <w:sz w:val="28"/>
          <w:szCs w:val="28"/>
          <w:lang w:val="sq-AL"/>
        </w:rPr>
        <w:t>publikuar sipas rastit.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536D7C">
        <w:rPr>
          <w:rFonts w:ascii="Times New Roman" w:hAnsi="Times New Roman"/>
          <w:b/>
          <w:sz w:val="28"/>
          <w:szCs w:val="28"/>
          <w:lang w:val="sq-AL"/>
        </w:rPr>
        <w:t xml:space="preserve">Pjesa VIII: Dispozitat përfundimtare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Konventa parashikon mënyrat që mund të përdorin shtetet dhe organizatat ndërkombëtare </w:t>
      </w:r>
      <w:r>
        <w:rPr>
          <w:rFonts w:ascii="Times New Roman" w:hAnsi="Times New Roman"/>
          <w:sz w:val="28"/>
          <w:szCs w:val="28"/>
          <w:lang w:val="sq-AL"/>
        </w:rPr>
        <w:t>për ta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bërë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>onventën pjesë të legjislacionit të tyre të brendshëm, me ratifikim, aderim apo “aktin e konfirmimit formal”.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Konventa do të hyjë në fuqi në ditën e tridhjetë pas datës së depozitimit të instrumentit të tridhjetë e pestë të ratifikimit apo të aderimit nga shtetet apo nga Namibia, e përfaqësuar nga Këshilli i Kombeve të Bashkuara për Namibinë. </w:t>
      </w: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363D85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Konventa është e shoqëruar edhe me një shtojcë “Procedurat e arbitrazhit dhe të pajtimit të përcaktuara në zbatim të nenit 66”. Shtojca parashikon ngritjen e Gjykatës së Arbitrazhit ose Komisionit të</w:t>
      </w:r>
      <w:r>
        <w:rPr>
          <w:rFonts w:ascii="Times New Roman" w:hAnsi="Times New Roman"/>
          <w:sz w:val="28"/>
          <w:szCs w:val="28"/>
          <w:lang w:val="sq-AL"/>
        </w:rPr>
        <w:t xml:space="preserve"> Pajtimit, si 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dhe përcakton rregullat e funksionimit dhe të mënyrës së punës së këtyre institucioneve. 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363D85" w:rsidRPr="00536D7C" w:rsidRDefault="00363D85" w:rsidP="00D239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536D7C">
        <w:rPr>
          <w:rFonts w:ascii="Times New Roman" w:hAnsi="Times New Roman"/>
          <w:sz w:val="28"/>
          <w:szCs w:val="28"/>
          <w:lang w:val="sq-AL"/>
        </w:rPr>
        <w:t>Institucioni zbatues i detyrimeve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që rrjedhin nga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536D7C">
        <w:rPr>
          <w:rFonts w:ascii="Times New Roman" w:hAnsi="Times New Roman"/>
          <w:sz w:val="28"/>
          <w:szCs w:val="28"/>
          <w:lang w:val="sq-AL"/>
        </w:rPr>
        <w:t>onventa midis shteteve dhe organizatave ndërkombëtare ose midis</w:t>
      </w:r>
      <w:r>
        <w:rPr>
          <w:rFonts w:ascii="Times New Roman" w:hAnsi="Times New Roman"/>
          <w:sz w:val="28"/>
          <w:szCs w:val="28"/>
          <w:lang w:val="sq-AL"/>
        </w:rPr>
        <w:t xml:space="preserve"> organizatave ndërkombëtare,</w:t>
      </w:r>
      <w:r w:rsidRPr="00536D7C">
        <w:rPr>
          <w:rFonts w:ascii="Times New Roman" w:hAnsi="Times New Roman"/>
          <w:sz w:val="28"/>
          <w:szCs w:val="28"/>
          <w:lang w:val="sq-AL"/>
        </w:rPr>
        <w:t xml:space="preserve"> është Ministria e Punëve të Jashtme. </w:t>
      </w:r>
    </w:p>
    <w:p w:rsidR="00363D85" w:rsidRPr="00536D7C" w:rsidRDefault="00363D85" w:rsidP="00D239FA">
      <w:pPr>
        <w:pStyle w:val="NoSpacing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pStyle w:val="NoSpacing"/>
        <w:rPr>
          <w:rFonts w:ascii="Times New Roman" w:hAnsi="Times New Roman"/>
          <w:sz w:val="28"/>
          <w:szCs w:val="28"/>
          <w:lang w:val="sq-AL"/>
        </w:rPr>
      </w:pPr>
    </w:p>
    <w:p w:rsidR="00363D85" w:rsidRPr="00536D7C" w:rsidRDefault="00363D85" w:rsidP="00D239FA">
      <w:pPr>
        <w:pStyle w:val="NoSpacing"/>
        <w:rPr>
          <w:rFonts w:ascii="Times New Roman" w:hAnsi="Times New Roman"/>
          <w:sz w:val="28"/>
          <w:szCs w:val="28"/>
          <w:lang w:val="sq-AL"/>
        </w:rPr>
      </w:pPr>
    </w:p>
    <w:p w:rsidR="00363D85" w:rsidRPr="00052DD4" w:rsidRDefault="00363D85" w:rsidP="00D239FA">
      <w:pPr>
        <w:pStyle w:val="NoSpacing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52DD4">
        <w:rPr>
          <w:rFonts w:ascii="Times New Roman" w:hAnsi="Times New Roman"/>
          <w:b/>
          <w:sz w:val="28"/>
          <w:szCs w:val="28"/>
          <w:lang w:val="sq-AL"/>
        </w:rPr>
        <w:t>K</w:t>
      </w:r>
      <w:r>
        <w:rPr>
          <w:rFonts w:ascii="Times New Roman" w:hAnsi="Times New Roman"/>
          <w:b/>
          <w:sz w:val="28"/>
          <w:szCs w:val="28"/>
          <w:lang w:val="sq-AL"/>
        </w:rPr>
        <w:t>Ë</w:t>
      </w:r>
      <w:r w:rsidRPr="00052DD4">
        <w:rPr>
          <w:rFonts w:ascii="Times New Roman" w:hAnsi="Times New Roman"/>
          <w:b/>
          <w:sz w:val="28"/>
          <w:szCs w:val="28"/>
          <w:lang w:val="sq-AL"/>
        </w:rPr>
        <w:t>SHILLI I MINISTRAVE</w:t>
      </w:r>
    </w:p>
    <w:p w:rsidR="00363D85" w:rsidRPr="00D239FA" w:rsidRDefault="00363D85" w:rsidP="00D239FA">
      <w:bookmarkStart w:id="0" w:name="_GoBack"/>
      <w:bookmarkEnd w:id="0"/>
    </w:p>
    <w:sectPr w:rsidR="00363D85" w:rsidRPr="00D239FA" w:rsidSect="00536D7C">
      <w:footerReference w:type="default" r:id="rId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D85" w:rsidRDefault="00363D85" w:rsidP="00D02EDC">
      <w:pPr>
        <w:spacing w:after="0" w:line="240" w:lineRule="auto"/>
      </w:pPr>
      <w:r>
        <w:separator/>
      </w:r>
    </w:p>
  </w:endnote>
  <w:endnote w:type="continuationSeparator" w:id="0">
    <w:p w:rsidR="00363D85" w:rsidRDefault="00363D85" w:rsidP="00D0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85" w:rsidRDefault="00363D85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363D85" w:rsidRDefault="00363D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D85" w:rsidRDefault="00363D85" w:rsidP="00D02EDC">
      <w:pPr>
        <w:spacing w:after="0" w:line="240" w:lineRule="auto"/>
      </w:pPr>
      <w:r>
        <w:separator/>
      </w:r>
    </w:p>
  </w:footnote>
  <w:footnote w:type="continuationSeparator" w:id="0">
    <w:p w:rsidR="00363D85" w:rsidRDefault="00363D85" w:rsidP="00D02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FE8"/>
    <w:rsid w:val="000137F4"/>
    <w:rsid w:val="00017355"/>
    <w:rsid w:val="0002243E"/>
    <w:rsid w:val="00047AE7"/>
    <w:rsid w:val="0005200D"/>
    <w:rsid w:val="00052DD4"/>
    <w:rsid w:val="00093487"/>
    <w:rsid w:val="00097E7E"/>
    <w:rsid w:val="000B2945"/>
    <w:rsid w:val="000B4E69"/>
    <w:rsid w:val="000E0A7E"/>
    <w:rsid w:val="00116FE8"/>
    <w:rsid w:val="00130968"/>
    <w:rsid w:val="00137BA9"/>
    <w:rsid w:val="00144A4B"/>
    <w:rsid w:val="001453C3"/>
    <w:rsid w:val="001456B5"/>
    <w:rsid w:val="00153A0E"/>
    <w:rsid w:val="0016305C"/>
    <w:rsid w:val="001B3341"/>
    <w:rsid w:val="001D00FD"/>
    <w:rsid w:val="001E56EB"/>
    <w:rsid w:val="0020302E"/>
    <w:rsid w:val="00235F62"/>
    <w:rsid w:val="002363E0"/>
    <w:rsid w:val="00240FC2"/>
    <w:rsid w:val="00244D99"/>
    <w:rsid w:val="0025133D"/>
    <w:rsid w:val="00256FDB"/>
    <w:rsid w:val="00257132"/>
    <w:rsid w:val="00276C2D"/>
    <w:rsid w:val="00281DE3"/>
    <w:rsid w:val="0028773E"/>
    <w:rsid w:val="002B2013"/>
    <w:rsid w:val="002C4E88"/>
    <w:rsid w:val="002E6A79"/>
    <w:rsid w:val="00320A42"/>
    <w:rsid w:val="00356FCA"/>
    <w:rsid w:val="00363D85"/>
    <w:rsid w:val="00372B21"/>
    <w:rsid w:val="003A0E27"/>
    <w:rsid w:val="003A10D0"/>
    <w:rsid w:val="003B1408"/>
    <w:rsid w:val="003D0878"/>
    <w:rsid w:val="003D5CFA"/>
    <w:rsid w:val="003E216F"/>
    <w:rsid w:val="003E2E27"/>
    <w:rsid w:val="003F372D"/>
    <w:rsid w:val="00404DB7"/>
    <w:rsid w:val="004119B3"/>
    <w:rsid w:val="004268CA"/>
    <w:rsid w:val="00426EF1"/>
    <w:rsid w:val="004603DE"/>
    <w:rsid w:val="00462400"/>
    <w:rsid w:val="0046263A"/>
    <w:rsid w:val="004A4E9E"/>
    <w:rsid w:val="004A64F0"/>
    <w:rsid w:val="004B3599"/>
    <w:rsid w:val="004D4082"/>
    <w:rsid w:val="004D63DA"/>
    <w:rsid w:val="004F1CCB"/>
    <w:rsid w:val="004F721E"/>
    <w:rsid w:val="00501D96"/>
    <w:rsid w:val="00510675"/>
    <w:rsid w:val="00527EE8"/>
    <w:rsid w:val="00532EA1"/>
    <w:rsid w:val="00536D7C"/>
    <w:rsid w:val="005605B3"/>
    <w:rsid w:val="0056655C"/>
    <w:rsid w:val="00566B73"/>
    <w:rsid w:val="005A6A53"/>
    <w:rsid w:val="005B2335"/>
    <w:rsid w:val="005D03E0"/>
    <w:rsid w:val="005D2091"/>
    <w:rsid w:val="00606BF9"/>
    <w:rsid w:val="00620B58"/>
    <w:rsid w:val="006211AE"/>
    <w:rsid w:val="006363CC"/>
    <w:rsid w:val="00675706"/>
    <w:rsid w:val="006A3CD0"/>
    <w:rsid w:val="006A4B41"/>
    <w:rsid w:val="006C5F5D"/>
    <w:rsid w:val="007002CA"/>
    <w:rsid w:val="00711CCE"/>
    <w:rsid w:val="00716120"/>
    <w:rsid w:val="00717235"/>
    <w:rsid w:val="00724AA9"/>
    <w:rsid w:val="007250B4"/>
    <w:rsid w:val="00752067"/>
    <w:rsid w:val="00760340"/>
    <w:rsid w:val="00773A9A"/>
    <w:rsid w:val="00773FF0"/>
    <w:rsid w:val="007812F8"/>
    <w:rsid w:val="00786A12"/>
    <w:rsid w:val="007A208E"/>
    <w:rsid w:val="007B0034"/>
    <w:rsid w:val="007B00CC"/>
    <w:rsid w:val="007B49A0"/>
    <w:rsid w:val="007D7C95"/>
    <w:rsid w:val="007E4F21"/>
    <w:rsid w:val="007E7FDD"/>
    <w:rsid w:val="00873EAA"/>
    <w:rsid w:val="00874DCC"/>
    <w:rsid w:val="008771A2"/>
    <w:rsid w:val="008A2559"/>
    <w:rsid w:val="008B001D"/>
    <w:rsid w:val="008B3017"/>
    <w:rsid w:val="008B7ED9"/>
    <w:rsid w:val="008E5574"/>
    <w:rsid w:val="008F24DF"/>
    <w:rsid w:val="008F5AEA"/>
    <w:rsid w:val="00913D36"/>
    <w:rsid w:val="00925034"/>
    <w:rsid w:val="009709BA"/>
    <w:rsid w:val="00975829"/>
    <w:rsid w:val="0098292A"/>
    <w:rsid w:val="009D1968"/>
    <w:rsid w:val="009D6366"/>
    <w:rsid w:val="009E07B3"/>
    <w:rsid w:val="009F2921"/>
    <w:rsid w:val="009F4BA9"/>
    <w:rsid w:val="00A116CB"/>
    <w:rsid w:val="00A165D4"/>
    <w:rsid w:val="00A302CF"/>
    <w:rsid w:val="00A34EAA"/>
    <w:rsid w:val="00A529B5"/>
    <w:rsid w:val="00A71FDE"/>
    <w:rsid w:val="00A956DA"/>
    <w:rsid w:val="00A96317"/>
    <w:rsid w:val="00AA341B"/>
    <w:rsid w:val="00AB1C9F"/>
    <w:rsid w:val="00AD7F13"/>
    <w:rsid w:val="00AE113B"/>
    <w:rsid w:val="00B038A5"/>
    <w:rsid w:val="00B24725"/>
    <w:rsid w:val="00B821EC"/>
    <w:rsid w:val="00B93E63"/>
    <w:rsid w:val="00BF2DA5"/>
    <w:rsid w:val="00BF5035"/>
    <w:rsid w:val="00C36404"/>
    <w:rsid w:val="00CA0540"/>
    <w:rsid w:val="00CA0946"/>
    <w:rsid w:val="00CB1ECE"/>
    <w:rsid w:val="00CB4712"/>
    <w:rsid w:val="00CD24EE"/>
    <w:rsid w:val="00CD3BE9"/>
    <w:rsid w:val="00CF3167"/>
    <w:rsid w:val="00CF3E55"/>
    <w:rsid w:val="00D02EDC"/>
    <w:rsid w:val="00D03E9D"/>
    <w:rsid w:val="00D060B9"/>
    <w:rsid w:val="00D239FA"/>
    <w:rsid w:val="00D24BA7"/>
    <w:rsid w:val="00D264AE"/>
    <w:rsid w:val="00D26A1F"/>
    <w:rsid w:val="00D30FC0"/>
    <w:rsid w:val="00D454F6"/>
    <w:rsid w:val="00D622FB"/>
    <w:rsid w:val="00D624F4"/>
    <w:rsid w:val="00D63D0E"/>
    <w:rsid w:val="00D66CD9"/>
    <w:rsid w:val="00D703D0"/>
    <w:rsid w:val="00DB2B65"/>
    <w:rsid w:val="00DB4210"/>
    <w:rsid w:val="00DD6C41"/>
    <w:rsid w:val="00DE64E0"/>
    <w:rsid w:val="00DF71AF"/>
    <w:rsid w:val="00E00AC9"/>
    <w:rsid w:val="00E0541F"/>
    <w:rsid w:val="00E158BF"/>
    <w:rsid w:val="00E17517"/>
    <w:rsid w:val="00E21F8F"/>
    <w:rsid w:val="00E35586"/>
    <w:rsid w:val="00E35D4D"/>
    <w:rsid w:val="00E4282A"/>
    <w:rsid w:val="00E633F3"/>
    <w:rsid w:val="00E70AFD"/>
    <w:rsid w:val="00E71E4F"/>
    <w:rsid w:val="00EB7E14"/>
    <w:rsid w:val="00EC51E9"/>
    <w:rsid w:val="00ED2948"/>
    <w:rsid w:val="00ED77BF"/>
    <w:rsid w:val="00EF2793"/>
    <w:rsid w:val="00EF58CB"/>
    <w:rsid w:val="00EF7EE7"/>
    <w:rsid w:val="00F34DE8"/>
    <w:rsid w:val="00F40CD0"/>
    <w:rsid w:val="00F40FEA"/>
    <w:rsid w:val="00F64B3E"/>
    <w:rsid w:val="00F67A84"/>
    <w:rsid w:val="00F80698"/>
    <w:rsid w:val="00FB7ED2"/>
    <w:rsid w:val="00FC0250"/>
    <w:rsid w:val="00FE0A41"/>
    <w:rsid w:val="00FE0E69"/>
    <w:rsid w:val="00FF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FE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uiPriority w:val="99"/>
    <w:rsid w:val="00116FE8"/>
    <w:rPr>
      <w:rFonts w:cs="Times New Roman"/>
    </w:rPr>
  </w:style>
  <w:style w:type="character" w:customStyle="1" w:styleId="hps">
    <w:name w:val="hps"/>
    <w:basedOn w:val="DefaultParagraphFont"/>
    <w:uiPriority w:val="99"/>
    <w:rsid w:val="00116FE8"/>
    <w:rPr>
      <w:rFonts w:cs="Times New Roman"/>
    </w:rPr>
  </w:style>
  <w:style w:type="paragraph" w:styleId="NoSpacing">
    <w:name w:val="No Spacing"/>
    <w:uiPriority w:val="99"/>
    <w:qFormat/>
    <w:rsid w:val="005605B3"/>
  </w:style>
  <w:style w:type="paragraph" w:styleId="BalloonText">
    <w:name w:val="Balloon Text"/>
    <w:basedOn w:val="Normal"/>
    <w:link w:val="BalloonTextChar"/>
    <w:uiPriority w:val="99"/>
    <w:semiHidden/>
    <w:rsid w:val="0072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50B4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23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39F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1624</Words>
  <Characters>9261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Relacioni i projektligji</dc:title>
  <dc:subject/>
  <dc:creator>Xhilda.Pinci</dc:creator>
  <cp:keywords/>
  <dc:description/>
  <cp:lastModifiedBy>SALLA  SEANCAVE</cp:lastModifiedBy>
  <cp:revision>2</cp:revision>
  <cp:lastPrinted>2013-12-04T11:53:00Z</cp:lastPrinted>
  <dcterms:created xsi:type="dcterms:W3CDTF">2013-12-23T16:25:00Z</dcterms:created>
  <dcterms:modified xsi:type="dcterms:W3CDTF">2013-12-23T16:25:00Z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0x0033B0BE352C212E46B5DD9BF915040955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3</vt:lpwstr>
  </property>
  <property fmtid="{D5CDD505-2E9C-101B-9397-08002B2CF9AE}" pid="6" name="ProtocolNumberOut">
    <vt:lpwstr>12719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