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52E" w:rsidRDefault="00F3352E" w:rsidP="00A60903">
      <w:pPr>
        <w:spacing w:after="0" w:line="240" w:lineRule="auto"/>
        <w:jc w:val="center"/>
        <w:rPr>
          <w:rFonts w:ascii="Times New Roman" w:hAnsi="Times New Roman"/>
          <w:b/>
          <w:sz w:val="28"/>
          <w:szCs w:val="28"/>
        </w:rPr>
      </w:pPr>
      <w:bookmarkStart w:id="0" w:name="_GoBack"/>
      <w:bookmarkEnd w:id="0"/>
      <w:r w:rsidRPr="00A60903">
        <w:rPr>
          <w:rFonts w:ascii="Times New Roman" w:hAnsi="Times New Roman"/>
          <w:b/>
          <w:sz w:val="28"/>
          <w:szCs w:val="28"/>
        </w:rPr>
        <w:t>R</w:t>
      </w:r>
      <w:r>
        <w:rPr>
          <w:rFonts w:ascii="Times New Roman" w:hAnsi="Times New Roman"/>
          <w:b/>
          <w:sz w:val="28"/>
          <w:szCs w:val="28"/>
        </w:rPr>
        <w:t xml:space="preserve"> </w:t>
      </w:r>
      <w:r w:rsidRPr="00A60903">
        <w:rPr>
          <w:rFonts w:ascii="Times New Roman" w:hAnsi="Times New Roman"/>
          <w:b/>
          <w:sz w:val="28"/>
          <w:szCs w:val="28"/>
        </w:rPr>
        <w:t>E</w:t>
      </w:r>
      <w:r>
        <w:rPr>
          <w:rFonts w:ascii="Times New Roman" w:hAnsi="Times New Roman"/>
          <w:b/>
          <w:sz w:val="28"/>
          <w:szCs w:val="28"/>
        </w:rPr>
        <w:t xml:space="preserve"> </w:t>
      </w:r>
      <w:r w:rsidRPr="00A60903">
        <w:rPr>
          <w:rFonts w:ascii="Times New Roman" w:hAnsi="Times New Roman"/>
          <w:b/>
          <w:sz w:val="28"/>
          <w:szCs w:val="28"/>
        </w:rPr>
        <w:t>L</w:t>
      </w:r>
      <w:r>
        <w:rPr>
          <w:rFonts w:ascii="Times New Roman" w:hAnsi="Times New Roman"/>
          <w:b/>
          <w:sz w:val="28"/>
          <w:szCs w:val="28"/>
        </w:rPr>
        <w:t xml:space="preserve"> </w:t>
      </w:r>
      <w:r w:rsidRPr="00A60903">
        <w:rPr>
          <w:rFonts w:ascii="Times New Roman" w:hAnsi="Times New Roman"/>
          <w:b/>
          <w:sz w:val="28"/>
          <w:szCs w:val="28"/>
        </w:rPr>
        <w:t>A</w:t>
      </w:r>
      <w:r>
        <w:rPr>
          <w:rFonts w:ascii="Times New Roman" w:hAnsi="Times New Roman"/>
          <w:b/>
          <w:sz w:val="28"/>
          <w:szCs w:val="28"/>
        </w:rPr>
        <w:t xml:space="preserve"> </w:t>
      </w:r>
      <w:r w:rsidRPr="00A60903">
        <w:rPr>
          <w:rFonts w:ascii="Times New Roman" w:hAnsi="Times New Roman"/>
          <w:b/>
          <w:sz w:val="28"/>
          <w:szCs w:val="28"/>
        </w:rPr>
        <w:t>I</w:t>
      </w:r>
      <w:r>
        <w:rPr>
          <w:rFonts w:ascii="Times New Roman" w:hAnsi="Times New Roman"/>
          <w:b/>
          <w:sz w:val="28"/>
          <w:szCs w:val="28"/>
        </w:rPr>
        <w:t xml:space="preserve"> </w:t>
      </w:r>
      <w:r w:rsidRPr="00A60903">
        <w:rPr>
          <w:rFonts w:ascii="Times New Roman" w:hAnsi="Times New Roman"/>
          <w:b/>
          <w:sz w:val="28"/>
          <w:szCs w:val="28"/>
        </w:rPr>
        <w:t>O</w:t>
      </w:r>
      <w:r>
        <w:rPr>
          <w:rFonts w:ascii="Times New Roman" w:hAnsi="Times New Roman"/>
          <w:b/>
          <w:sz w:val="28"/>
          <w:szCs w:val="28"/>
        </w:rPr>
        <w:t xml:space="preserve"> </w:t>
      </w:r>
      <w:r w:rsidRPr="00A60903">
        <w:rPr>
          <w:rFonts w:ascii="Times New Roman" w:hAnsi="Times New Roman"/>
          <w:b/>
          <w:sz w:val="28"/>
          <w:szCs w:val="28"/>
        </w:rPr>
        <w:t>N</w:t>
      </w:r>
    </w:p>
    <w:p w:rsidR="00F3352E" w:rsidRPr="00A60903" w:rsidRDefault="00F3352E" w:rsidP="00A60903">
      <w:pPr>
        <w:spacing w:after="0" w:line="240" w:lineRule="auto"/>
        <w:jc w:val="center"/>
        <w:rPr>
          <w:rFonts w:ascii="Times New Roman" w:hAnsi="Times New Roman"/>
          <w:b/>
          <w:sz w:val="28"/>
          <w:szCs w:val="28"/>
        </w:rPr>
      </w:pPr>
    </w:p>
    <w:p w:rsidR="00F3352E" w:rsidRDefault="00F3352E" w:rsidP="00A60903">
      <w:pPr>
        <w:pStyle w:val="Titulli"/>
        <w:rPr>
          <w:rFonts w:ascii="Times New Roman" w:hAnsi="Times New Roman"/>
          <w:sz w:val="28"/>
          <w:szCs w:val="28"/>
          <w:lang w:val="sq-AL"/>
        </w:rPr>
      </w:pPr>
      <w:r w:rsidRPr="00A60903">
        <w:rPr>
          <w:rFonts w:ascii="Times New Roman" w:hAnsi="Times New Roman"/>
          <w:sz w:val="28"/>
          <w:szCs w:val="28"/>
          <w:lang w:val="sq-AL"/>
        </w:rPr>
        <w:t>PËR</w:t>
      </w:r>
    </w:p>
    <w:p w:rsidR="00F3352E" w:rsidRPr="00A60903" w:rsidRDefault="00F3352E" w:rsidP="00A60903">
      <w:pPr>
        <w:pStyle w:val="Titulli"/>
        <w:rPr>
          <w:rFonts w:ascii="Times New Roman" w:hAnsi="Times New Roman"/>
          <w:sz w:val="28"/>
          <w:szCs w:val="28"/>
          <w:lang w:val="sq-AL"/>
        </w:rPr>
      </w:pPr>
      <w:r w:rsidRPr="00A60903">
        <w:rPr>
          <w:rFonts w:ascii="Times New Roman" w:hAnsi="Times New Roman"/>
          <w:sz w:val="28"/>
          <w:szCs w:val="28"/>
          <w:lang w:val="sq-AL"/>
        </w:rPr>
        <w:t xml:space="preserve"> </w:t>
      </w:r>
    </w:p>
    <w:p w:rsidR="00F3352E" w:rsidRDefault="00F3352E" w:rsidP="00A60903">
      <w:pPr>
        <w:spacing w:after="0" w:line="240" w:lineRule="auto"/>
        <w:jc w:val="center"/>
        <w:rPr>
          <w:rFonts w:ascii="Times New Roman" w:hAnsi="Times New Roman"/>
          <w:b/>
          <w:sz w:val="28"/>
          <w:szCs w:val="28"/>
          <w:u w:val="single"/>
        </w:rPr>
      </w:pPr>
      <w:r>
        <w:rPr>
          <w:rFonts w:ascii="Times New Roman" w:hAnsi="Times New Roman"/>
          <w:b/>
          <w:sz w:val="28"/>
          <w:szCs w:val="28"/>
          <w:u w:val="single"/>
          <w:lang w:val="sq-AL"/>
        </w:rPr>
        <w:t>PROJEKTLIGJIN</w:t>
      </w:r>
      <w:r w:rsidRPr="00A60903">
        <w:rPr>
          <w:rFonts w:ascii="Times New Roman" w:hAnsi="Times New Roman"/>
          <w:b/>
          <w:sz w:val="28"/>
          <w:szCs w:val="28"/>
          <w:u w:val="single"/>
          <w:lang w:val="sq-AL"/>
        </w:rPr>
        <w:t xml:space="preserve"> “</w:t>
      </w:r>
      <w:r w:rsidRPr="00A60903">
        <w:rPr>
          <w:rFonts w:ascii="Times New Roman" w:hAnsi="Times New Roman"/>
          <w:b/>
          <w:sz w:val="28"/>
          <w:szCs w:val="28"/>
          <w:u w:val="single"/>
        </w:rPr>
        <w:t>PËR DISA NDRYSHIME</w:t>
      </w:r>
      <w:r>
        <w:rPr>
          <w:rFonts w:ascii="Times New Roman" w:hAnsi="Times New Roman"/>
          <w:b/>
          <w:sz w:val="28"/>
          <w:szCs w:val="28"/>
          <w:u w:val="single"/>
        </w:rPr>
        <w:t xml:space="preserve"> </w:t>
      </w:r>
      <w:r w:rsidRPr="00A60903">
        <w:rPr>
          <w:rFonts w:ascii="Times New Roman" w:hAnsi="Times New Roman"/>
          <w:b/>
          <w:sz w:val="28"/>
          <w:szCs w:val="28"/>
          <w:u w:val="single"/>
        </w:rPr>
        <w:t xml:space="preserve">DHE SHTESA </w:t>
      </w:r>
      <w:r>
        <w:rPr>
          <w:rFonts w:ascii="Times New Roman" w:hAnsi="Times New Roman"/>
          <w:b/>
          <w:sz w:val="28"/>
          <w:szCs w:val="28"/>
          <w:u w:val="single"/>
        </w:rPr>
        <w:t xml:space="preserve">                         </w:t>
      </w:r>
      <w:r w:rsidRPr="00A60903">
        <w:rPr>
          <w:rFonts w:ascii="Times New Roman" w:hAnsi="Times New Roman"/>
          <w:b/>
          <w:sz w:val="28"/>
          <w:szCs w:val="28"/>
          <w:u w:val="single"/>
        </w:rPr>
        <w:t xml:space="preserve">NË </w:t>
      </w:r>
      <w:r w:rsidRPr="00A60903">
        <w:rPr>
          <w:rFonts w:ascii="Times New Roman" w:hAnsi="Times New Roman"/>
          <w:b/>
          <w:bCs/>
          <w:sz w:val="28"/>
          <w:szCs w:val="28"/>
          <w:u w:val="single"/>
        </w:rPr>
        <w:t>LIGJIN NR.9632, DATË 30.10.2006, “PËR SISTEMIN E TAKSAVE VENDORE”, TË NDRYSHUAR</w:t>
      </w:r>
      <w:r w:rsidRPr="00A60903">
        <w:rPr>
          <w:rFonts w:ascii="Times New Roman" w:hAnsi="Times New Roman"/>
          <w:b/>
          <w:sz w:val="28"/>
          <w:szCs w:val="28"/>
          <w:u w:val="single"/>
        </w:rPr>
        <w:t>”</w:t>
      </w:r>
    </w:p>
    <w:p w:rsidR="00F3352E" w:rsidRDefault="00F3352E" w:rsidP="00A60903">
      <w:pPr>
        <w:pStyle w:val="Default"/>
        <w:jc w:val="center"/>
        <w:rPr>
          <w:b/>
          <w:color w:val="auto"/>
          <w:sz w:val="28"/>
          <w:szCs w:val="28"/>
          <w:u w:val="single"/>
        </w:rPr>
      </w:pPr>
    </w:p>
    <w:p w:rsidR="00F3352E" w:rsidRDefault="00F3352E" w:rsidP="00A60903">
      <w:pPr>
        <w:pStyle w:val="Default"/>
        <w:jc w:val="center"/>
        <w:rPr>
          <w:b/>
          <w:color w:val="auto"/>
          <w:sz w:val="28"/>
          <w:szCs w:val="28"/>
          <w:u w:val="single"/>
        </w:rPr>
      </w:pPr>
    </w:p>
    <w:p w:rsidR="00F3352E" w:rsidRPr="00A60903" w:rsidRDefault="00F3352E" w:rsidP="00994D41">
      <w:pPr>
        <w:pStyle w:val="Default"/>
        <w:jc w:val="both"/>
        <w:rPr>
          <w:sz w:val="28"/>
          <w:szCs w:val="28"/>
        </w:rPr>
      </w:pPr>
      <w:r>
        <w:rPr>
          <w:sz w:val="28"/>
          <w:szCs w:val="28"/>
          <w:lang w:val="sq-AL"/>
        </w:rPr>
        <w:t>Projektligji  “</w:t>
      </w:r>
      <w:r w:rsidRPr="00A60903">
        <w:rPr>
          <w:sz w:val="28"/>
          <w:szCs w:val="28"/>
          <w:lang w:val="sq-AL"/>
        </w:rPr>
        <w:t xml:space="preserve">Për disa ndryshime </w:t>
      </w:r>
      <w:r>
        <w:rPr>
          <w:sz w:val="28"/>
          <w:szCs w:val="28"/>
          <w:lang w:val="sq-AL"/>
        </w:rPr>
        <w:t xml:space="preserve">dhe shtesa </w:t>
      </w:r>
      <w:r w:rsidRPr="00A60903">
        <w:rPr>
          <w:sz w:val="28"/>
          <w:szCs w:val="28"/>
          <w:lang w:val="sq-AL"/>
        </w:rPr>
        <w:t xml:space="preserve">në </w:t>
      </w:r>
      <w:r>
        <w:rPr>
          <w:bCs/>
          <w:sz w:val="28"/>
          <w:szCs w:val="28"/>
          <w:lang w:val="sq-AL"/>
        </w:rPr>
        <w:t>ligjin nr.</w:t>
      </w:r>
      <w:r w:rsidRPr="00A60903">
        <w:rPr>
          <w:bCs/>
          <w:sz w:val="28"/>
          <w:szCs w:val="28"/>
          <w:lang w:val="sq-AL"/>
        </w:rPr>
        <w:t>9632, datë 30.10.2006</w:t>
      </w:r>
      <w:r>
        <w:rPr>
          <w:bCs/>
          <w:sz w:val="28"/>
          <w:szCs w:val="28"/>
          <w:lang w:val="sq-AL"/>
        </w:rPr>
        <w:t>,</w:t>
      </w:r>
      <w:r w:rsidRPr="00A60903">
        <w:rPr>
          <w:bCs/>
          <w:sz w:val="28"/>
          <w:szCs w:val="28"/>
          <w:lang w:val="sq-AL"/>
        </w:rPr>
        <w:t xml:space="preserve"> “Për </w:t>
      </w:r>
      <w:r>
        <w:rPr>
          <w:bCs/>
          <w:sz w:val="28"/>
          <w:szCs w:val="28"/>
          <w:lang w:val="sq-AL"/>
        </w:rPr>
        <w:t>sistemin e taksave vendore”, të</w:t>
      </w:r>
      <w:r w:rsidRPr="00A60903">
        <w:rPr>
          <w:bCs/>
          <w:sz w:val="28"/>
          <w:szCs w:val="28"/>
          <w:lang w:val="sq-AL"/>
        </w:rPr>
        <w:t xml:space="preserve"> ndryshuar</w:t>
      </w:r>
      <w:r>
        <w:rPr>
          <w:sz w:val="28"/>
          <w:szCs w:val="28"/>
          <w:lang w:val="sq-AL"/>
        </w:rPr>
        <w:t>”</w:t>
      </w:r>
      <w:r w:rsidRPr="00A60903">
        <w:rPr>
          <w:sz w:val="28"/>
          <w:szCs w:val="28"/>
          <w:lang w:val="sq-AL"/>
        </w:rPr>
        <w:t xml:space="preserve">, propozohet </w:t>
      </w:r>
      <w:r>
        <w:rPr>
          <w:sz w:val="28"/>
          <w:szCs w:val="28"/>
          <w:lang w:val="sq-AL"/>
        </w:rPr>
        <w:t xml:space="preserve">në bazë të neneve </w:t>
      </w:r>
      <w:r w:rsidRPr="005A2710">
        <w:rPr>
          <w:sz w:val="28"/>
          <w:szCs w:val="28"/>
        </w:rPr>
        <w:t>78, 83</w:t>
      </w:r>
      <w:r>
        <w:rPr>
          <w:sz w:val="28"/>
          <w:szCs w:val="28"/>
        </w:rPr>
        <w:t>,</w:t>
      </w:r>
      <w:r w:rsidRPr="005A2710">
        <w:rPr>
          <w:sz w:val="28"/>
          <w:szCs w:val="28"/>
        </w:rPr>
        <w:t xml:space="preserve"> pika 1</w:t>
      </w:r>
      <w:r>
        <w:rPr>
          <w:sz w:val="28"/>
          <w:szCs w:val="28"/>
        </w:rPr>
        <w:t>,</w:t>
      </w:r>
      <w:r w:rsidRPr="005A2710">
        <w:rPr>
          <w:sz w:val="28"/>
          <w:szCs w:val="28"/>
        </w:rPr>
        <w:t xml:space="preserve"> </w:t>
      </w:r>
      <w:r>
        <w:rPr>
          <w:sz w:val="28"/>
          <w:szCs w:val="28"/>
        </w:rPr>
        <w:t>84, pika 4, 113, pika 1, shkronja</w:t>
      </w:r>
      <w:r w:rsidRPr="005A2710">
        <w:rPr>
          <w:sz w:val="28"/>
          <w:szCs w:val="28"/>
        </w:rPr>
        <w:t xml:space="preserve"> </w:t>
      </w:r>
      <w:r>
        <w:rPr>
          <w:sz w:val="28"/>
          <w:szCs w:val="28"/>
        </w:rPr>
        <w:t>“</w:t>
      </w:r>
      <w:r w:rsidRPr="005A2710">
        <w:rPr>
          <w:sz w:val="28"/>
          <w:szCs w:val="28"/>
        </w:rPr>
        <w:t>ç</w:t>
      </w:r>
      <w:r>
        <w:rPr>
          <w:sz w:val="28"/>
          <w:szCs w:val="28"/>
        </w:rPr>
        <w:t xml:space="preserve">”, </w:t>
      </w:r>
      <w:r w:rsidRPr="005A2710">
        <w:rPr>
          <w:sz w:val="28"/>
          <w:szCs w:val="28"/>
        </w:rPr>
        <w:t>155</w:t>
      </w:r>
      <w:r>
        <w:rPr>
          <w:sz w:val="28"/>
          <w:szCs w:val="28"/>
        </w:rPr>
        <w:t xml:space="preserve"> </w:t>
      </w:r>
      <w:r w:rsidRPr="005A2710">
        <w:rPr>
          <w:sz w:val="28"/>
          <w:szCs w:val="28"/>
        </w:rPr>
        <w:t>e 157, pika 3</w:t>
      </w:r>
      <w:r>
        <w:rPr>
          <w:sz w:val="28"/>
          <w:szCs w:val="28"/>
        </w:rPr>
        <w:t>,</w:t>
      </w:r>
      <w:r w:rsidRPr="005A2710">
        <w:rPr>
          <w:sz w:val="28"/>
          <w:szCs w:val="28"/>
        </w:rPr>
        <w:t xml:space="preserve"> të Kushtetutës</w:t>
      </w:r>
      <w:r>
        <w:rPr>
          <w:sz w:val="28"/>
          <w:szCs w:val="28"/>
        </w:rPr>
        <w:t>.</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Pr>
          <w:rFonts w:ascii="Times New Roman" w:hAnsi="Times New Roman"/>
          <w:sz w:val="28"/>
          <w:szCs w:val="28"/>
        </w:rPr>
        <w:t>Në nenet</w:t>
      </w:r>
      <w:r w:rsidRPr="00A60903">
        <w:rPr>
          <w:rFonts w:ascii="Times New Roman" w:hAnsi="Times New Roman"/>
          <w:sz w:val="28"/>
          <w:szCs w:val="28"/>
        </w:rPr>
        <w:t xml:space="preserve"> 1 dhe  2</w:t>
      </w:r>
      <w:r>
        <w:rPr>
          <w:rFonts w:ascii="Times New Roman" w:hAnsi="Times New Roman"/>
          <w:sz w:val="28"/>
          <w:szCs w:val="28"/>
        </w:rPr>
        <w:t>, të</w:t>
      </w:r>
      <w:r w:rsidRPr="00A60903">
        <w:rPr>
          <w:rFonts w:ascii="Times New Roman" w:hAnsi="Times New Roman"/>
          <w:sz w:val="28"/>
          <w:szCs w:val="28"/>
        </w:rPr>
        <w:t xml:space="preserve"> projektligjit</w:t>
      </w:r>
      <w:r>
        <w:rPr>
          <w:rFonts w:ascii="Times New Roman" w:hAnsi="Times New Roman"/>
          <w:sz w:val="28"/>
          <w:szCs w:val="28"/>
        </w:rPr>
        <w:t>,</w:t>
      </w:r>
      <w:r w:rsidRPr="00A60903">
        <w:rPr>
          <w:rFonts w:ascii="Times New Roman" w:hAnsi="Times New Roman"/>
          <w:sz w:val="28"/>
          <w:szCs w:val="28"/>
        </w:rPr>
        <w:t xml:space="preserve"> propozo</w:t>
      </w:r>
      <w:r>
        <w:rPr>
          <w:rFonts w:ascii="Times New Roman" w:hAnsi="Times New Roman"/>
          <w:sz w:val="28"/>
          <w:szCs w:val="28"/>
        </w:rPr>
        <w:t>hen</w:t>
      </w:r>
      <w:r w:rsidRPr="00A60903">
        <w:rPr>
          <w:rFonts w:ascii="Times New Roman" w:hAnsi="Times New Roman"/>
          <w:sz w:val="28"/>
          <w:szCs w:val="28"/>
        </w:rPr>
        <w:t xml:space="preserve"> shfuqizimi</w:t>
      </w:r>
      <w:r>
        <w:rPr>
          <w:rFonts w:ascii="Times New Roman" w:hAnsi="Times New Roman"/>
          <w:sz w:val="28"/>
          <w:szCs w:val="28"/>
        </w:rPr>
        <w:t xml:space="preserve"> i</w:t>
      </w:r>
      <w:r w:rsidRPr="00A60903">
        <w:rPr>
          <w:rFonts w:ascii="Times New Roman" w:hAnsi="Times New Roman"/>
          <w:sz w:val="28"/>
          <w:szCs w:val="28"/>
        </w:rPr>
        <w:t xml:space="preserve"> taksës së biznesit të vogël dhe ndryshimi</w:t>
      </w:r>
      <w:r>
        <w:rPr>
          <w:rFonts w:ascii="Times New Roman" w:hAnsi="Times New Roman"/>
          <w:sz w:val="28"/>
          <w:szCs w:val="28"/>
        </w:rPr>
        <w:t xml:space="preserve"> i</w:t>
      </w:r>
      <w:r w:rsidRPr="00A60903">
        <w:rPr>
          <w:rFonts w:ascii="Times New Roman" w:hAnsi="Times New Roman"/>
          <w:sz w:val="28"/>
          <w:szCs w:val="28"/>
        </w:rPr>
        <w:t xml:space="preserve"> mënyrës së tatimit. </w:t>
      </w:r>
    </w:p>
    <w:p w:rsidR="00F3352E" w:rsidRDefault="00F3352E" w:rsidP="00A60903">
      <w:pPr>
        <w:spacing w:after="0" w:line="240" w:lineRule="auto"/>
        <w:jc w:val="both"/>
        <w:rPr>
          <w:rFonts w:ascii="Times New Roman" w:hAnsi="Times New Roman"/>
          <w:sz w:val="28"/>
          <w:szCs w:val="28"/>
        </w:rPr>
      </w:pPr>
    </w:p>
    <w:p w:rsidR="00F3352E"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 xml:space="preserve">Bazuar në </w:t>
      </w:r>
      <w:r>
        <w:rPr>
          <w:rFonts w:ascii="Times New Roman" w:hAnsi="Times New Roman"/>
          <w:sz w:val="28"/>
          <w:szCs w:val="28"/>
        </w:rPr>
        <w:t>p</w:t>
      </w:r>
      <w:r w:rsidRPr="00A60903">
        <w:rPr>
          <w:rFonts w:ascii="Times New Roman" w:hAnsi="Times New Roman"/>
          <w:sz w:val="28"/>
          <w:szCs w:val="28"/>
        </w:rPr>
        <w:t xml:space="preserve">rogramin e </w:t>
      </w:r>
      <w:r>
        <w:rPr>
          <w:rFonts w:ascii="Times New Roman" w:hAnsi="Times New Roman"/>
          <w:sz w:val="28"/>
          <w:szCs w:val="28"/>
        </w:rPr>
        <w:t>q</w:t>
      </w:r>
      <w:r w:rsidRPr="00A60903">
        <w:rPr>
          <w:rFonts w:ascii="Times New Roman" w:hAnsi="Times New Roman"/>
          <w:sz w:val="28"/>
          <w:szCs w:val="28"/>
        </w:rPr>
        <w:t>everisë, në ligjin për sistemin e taksave vendore është propozuar heqja e taksës së biznesit të vogël dhe në ligjin për tatimin mbi të ardhurat heqja e tatimit mbi të ardhurat personale të biznesit të vogël. Këto dy tatime, të cilat biznesi i vogël i paguan një te njësitë e qeverisjes vendore dhe një tek administrata tatimore qendrore, zëvendësohen me një tatim të vetëm</w:t>
      </w:r>
      <w:r>
        <w:rPr>
          <w:rFonts w:ascii="Times New Roman" w:hAnsi="Times New Roman"/>
          <w:sz w:val="28"/>
          <w:szCs w:val="28"/>
        </w:rPr>
        <w:t>,</w:t>
      </w:r>
      <w:r w:rsidRPr="00A60903">
        <w:rPr>
          <w:rFonts w:ascii="Times New Roman" w:hAnsi="Times New Roman"/>
          <w:sz w:val="28"/>
          <w:szCs w:val="28"/>
        </w:rPr>
        <w:t xml:space="preserve"> tatimi i thjeshtuar mbi fitimin e biznesit të vogël dhe norma tatimore është 7.5%, ndërsa për subjektet</w:t>
      </w:r>
      <w:r>
        <w:rPr>
          <w:rFonts w:ascii="Times New Roman" w:hAnsi="Times New Roman"/>
          <w:sz w:val="28"/>
          <w:szCs w:val="28"/>
        </w:rPr>
        <w:t>,</w:t>
      </w:r>
      <w:r w:rsidRPr="00A60903">
        <w:rPr>
          <w:rFonts w:ascii="Times New Roman" w:hAnsi="Times New Roman"/>
          <w:sz w:val="28"/>
          <w:szCs w:val="28"/>
        </w:rPr>
        <w:t xml:space="preserve"> me qarkullim nga 0 deri në 2 milionë lekë në vit, pro</w:t>
      </w:r>
      <w:r>
        <w:rPr>
          <w:rFonts w:ascii="Times New Roman" w:hAnsi="Times New Roman"/>
          <w:sz w:val="28"/>
          <w:szCs w:val="28"/>
        </w:rPr>
        <w:t xml:space="preserve">pozohet një taksë fikse prej 25 </w:t>
      </w:r>
      <w:r w:rsidRPr="00A60903">
        <w:rPr>
          <w:rFonts w:ascii="Times New Roman" w:hAnsi="Times New Roman"/>
          <w:sz w:val="28"/>
          <w:szCs w:val="28"/>
        </w:rPr>
        <w:t>000 lekë në vit.</w:t>
      </w:r>
    </w:p>
    <w:p w:rsidR="00F3352E" w:rsidRPr="00A60903"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Aktualisht, në Shqipëri zhvillojnë aktivitet si subjekte të biznesit të vogël rreth 60 mijë tatimpagues. Nga pikëpamja fiskale, pagesa e kësaj takse te bashkitë dhe komunat dhe më pas kre</w:t>
      </w:r>
      <w:r>
        <w:rPr>
          <w:rFonts w:ascii="Times New Roman" w:hAnsi="Times New Roman"/>
          <w:sz w:val="28"/>
          <w:szCs w:val="28"/>
        </w:rPr>
        <w:t>ditimi i saj në administratën qe</w:t>
      </w:r>
      <w:r w:rsidRPr="00A60903">
        <w:rPr>
          <w:rFonts w:ascii="Times New Roman" w:hAnsi="Times New Roman"/>
          <w:sz w:val="28"/>
          <w:szCs w:val="28"/>
        </w:rPr>
        <w:t xml:space="preserve">ndrore tatimore, në funksion të tatimit të të ardhurave personale ka rritur abuzivizmin dhe nënraportimet, duke e bërë tatimin mbi të ardhurat personale të biznesit të vogël si një tatim </w:t>
      </w:r>
      <w:r>
        <w:rPr>
          <w:rFonts w:ascii="Times New Roman" w:hAnsi="Times New Roman"/>
          <w:sz w:val="28"/>
          <w:szCs w:val="28"/>
        </w:rPr>
        <w:t>jo</w:t>
      </w:r>
      <w:r w:rsidRPr="00A60903">
        <w:rPr>
          <w:rFonts w:ascii="Times New Roman" w:hAnsi="Times New Roman"/>
          <w:sz w:val="28"/>
          <w:szCs w:val="28"/>
        </w:rPr>
        <w:t>solid në sistemin fiskal. Për këtë arsye, tatimi i thjeshtuar mbi fitimin e biznesit të vogël</w:t>
      </w:r>
      <w:r>
        <w:rPr>
          <w:rFonts w:ascii="Times New Roman" w:hAnsi="Times New Roman"/>
          <w:sz w:val="28"/>
          <w:szCs w:val="28"/>
        </w:rPr>
        <w:t>,</w:t>
      </w:r>
      <w:r w:rsidRPr="00A60903">
        <w:rPr>
          <w:rFonts w:ascii="Times New Roman" w:hAnsi="Times New Roman"/>
          <w:sz w:val="28"/>
          <w:szCs w:val="28"/>
        </w:rPr>
        <w:t xml:space="preserve"> në normën prej 7.5% të fitimit të tatueshëm (diferenca midis të ardhurave dhe shpenzimeve të njohura fiskalisht)</w:t>
      </w:r>
      <w:r>
        <w:rPr>
          <w:rFonts w:ascii="Times New Roman" w:hAnsi="Times New Roman"/>
          <w:sz w:val="28"/>
          <w:szCs w:val="28"/>
        </w:rPr>
        <w:t>,</w:t>
      </w:r>
      <w:r w:rsidRPr="00A60903">
        <w:rPr>
          <w:rFonts w:ascii="Times New Roman" w:hAnsi="Times New Roman"/>
          <w:sz w:val="28"/>
          <w:szCs w:val="28"/>
        </w:rPr>
        <w:t xml:space="preserve"> do të konsolidojë këtë taksë, duke e pastruar nga kreditimi i taksës së biznesit të vogël, si dhe i ofron lehtësi tatimore kësaj kategorie.</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Përpos kësaj, ka ndryshime thelbësore në mënyrën e llogaritjes dhe pagesës së kësaj takse. Kjo taksë do të jetë taksë vendore, e cila do të mblidhet nga administrata tatimore qendrore për llogari të administratës lokale.</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Kështu, biznesi i vogël nuk përqaset më në dy administrata tatimore</w:t>
      </w:r>
      <w:r>
        <w:rPr>
          <w:rFonts w:ascii="Times New Roman" w:hAnsi="Times New Roman"/>
          <w:sz w:val="28"/>
          <w:szCs w:val="28"/>
        </w:rPr>
        <w:t>,</w:t>
      </w:r>
      <w:r w:rsidRPr="00A60903">
        <w:rPr>
          <w:rFonts w:ascii="Times New Roman" w:hAnsi="Times New Roman"/>
          <w:sz w:val="28"/>
          <w:szCs w:val="28"/>
        </w:rPr>
        <w:t xml:space="preserve"> për të cilat paguan për të njëjtin aktivitet 2 lloje taksash, por do të paguajë vetëm një tatim. </w:t>
      </w:r>
      <w:r>
        <w:rPr>
          <w:rFonts w:ascii="Times New Roman" w:hAnsi="Times New Roman"/>
          <w:sz w:val="28"/>
          <w:szCs w:val="28"/>
        </w:rPr>
        <w:t>Përveç</w:t>
      </w:r>
      <w:r w:rsidRPr="00A60903">
        <w:rPr>
          <w:rFonts w:ascii="Times New Roman" w:hAnsi="Times New Roman"/>
          <w:sz w:val="28"/>
          <w:szCs w:val="28"/>
        </w:rPr>
        <w:t xml:space="preserve"> tatimit më të ulët, më pak kohë fizike dhe kosto monetare duhet të harxhojë kjo kategori biznesi.</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 xml:space="preserve">Efekti negativ në të ardhurat e qeverisjes vendore vlerësohet të jetë rreth </w:t>
      </w:r>
      <w:r>
        <w:rPr>
          <w:rFonts w:ascii="Times New Roman" w:hAnsi="Times New Roman"/>
          <w:sz w:val="28"/>
          <w:szCs w:val="28"/>
        </w:rPr>
        <w:t xml:space="preserve">            </w:t>
      </w:r>
      <w:r w:rsidRPr="00A60903">
        <w:rPr>
          <w:rFonts w:ascii="Times New Roman" w:hAnsi="Times New Roman"/>
          <w:sz w:val="28"/>
          <w:szCs w:val="28"/>
        </w:rPr>
        <w:t>2 miliardë lekë, efekt ky i cili do t’i kompensohet me tatimin e thjeshtuar mbi fitimin e biznesit të vogël, në masën 1.2 miliardë lekë, të cilat do t’i mbledhë administrata tatimore qendrore për llogari të pushtetit vendor dhe 700 milionë lekë nga rritja e transfertës së pakushtëzuar.</w:t>
      </w:r>
    </w:p>
    <w:p w:rsidR="00F3352E" w:rsidRDefault="00F3352E" w:rsidP="00A60903">
      <w:pPr>
        <w:spacing w:after="0" w:line="240" w:lineRule="auto"/>
        <w:rPr>
          <w:rFonts w:ascii="Times New Roman" w:hAnsi="Times New Roman"/>
          <w:sz w:val="28"/>
          <w:szCs w:val="28"/>
        </w:rPr>
      </w:pPr>
    </w:p>
    <w:p w:rsidR="00F3352E" w:rsidRPr="00A60903" w:rsidRDefault="00F3352E" w:rsidP="00A60903">
      <w:pPr>
        <w:spacing w:after="0" w:line="240" w:lineRule="auto"/>
        <w:rPr>
          <w:rFonts w:ascii="Times New Roman" w:hAnsi="Times New Roman"/>
          <w:sz w:val="28"/>
          <w:szCs w:val="28"/>
        </w:rPr>
      </w:pPr>
      <w:r w:rsidRPr="00A60903">
        <w:rPr>
          <w:rFonts w:ascii="Times New Roman" w:hAnsi="Times New Roman"/>
          <w:sz w:val="28"/>
          <w:szCs w:val="28"/>
        </w:rPr>
        <w:t>Në nenet 3 dhe 4</w:t>
      </w:r>
      <w:r>
        <w:rPr>
          <w:rFonts w:ascii="Times New Roman" w:hAnsi="Times New Roman"/>
          <w:sz w:val="28"/>
          <w:szCs w:val="28"/>
        </w:rPr>
        <w:t>,</w:t>
      </w:r>
      <w:r w:rsidRPr="00A60903">
        <w:rPr>
          <w:rFonts w:ascii="Times New Roman" w:hAnsi="Times New Roman"/>
          <w:sz w:val="28"/>
          <w:szCs w:val="28"/>
        </w:rPr>
        <w:t xml:space="preserve"> të projektligjit, propozohen ndryshime lidhur me rishikimin e taksës së ndërtesës.</w:t>
      </w:r>
    </w:p>
    <w:p w:rsidR="00F3352E" w:rsidRDefault="00F3352E" w:rsidP="00A60903">
      <w:pPr>
        <w:pStyle w:val="BodyText"/>
        <w:rPr>
          <w:color w:val="000000"/>
          <w:sz w:val="28"/>
          <w:szCs w:val="28"/>
        </w:rPr>
      </w:pPr>
    </w:p>
    <w:p w:rsidR="00F3352E" w:rsidRPr="00A60903" w:rsidRDefault="00F3352E" w:rsidP="00A60903">
      <w:pPr>
        <w:pStyle w:val="BodyText"/>
        <w:rPr>
          <w:color w:val="000000"/>
          <w:sz w:val="28"/>
          <w:szCs w:val="28"/>
        </w:rPr>
      </w:pPr>
      <w:r w:rsidRPr="00A60903">
        <w:rPr>
          <w:color w:val="000000"/>
          <w:sz w:val="28"/>
          <w:szCs w:val="28"/>
        </w:rPr>
        <w:t>Në nenin 3 propozohet detyrimi i zyrave vendore të regjistrimit të pasurisë së paluajtshme që t’u ofrojnë njësive të qeverisjes vendore regjistrimin e të dhënave të pasurisë, një instrument ky i munguar për njësi</w:t>
      </w:r>
      <w:r>
        <w:rPr>
          <w:color w:val="000000"/>
          <w:sz w:val="28"/>
          <w:szCs w:val="28"/>
        </w:rPr>
        <w:t>të vendore për mir</w:t>
      </w:r>
      <w:r w:rsidRPr="00A60903">
        <w:rPr>
          <w:color w:val="000000"/>
          <w:sz w:val="28"/>
          <w:szCs w:val="28"/>
        </w:rPr>
        <w:t>administrimin e mbledhjes së taksave të pasurisë.</w:t>
      </w:r>
    </w:p>
    <w:p w:rsidR="00F3352E" w:rsidRPr="00A60903" w:rsidRDefault="00F3352E" w:rsidP="00A60903">
      <w:pPr>
        <w:pStyle w:val="BodyText"/>
        <w:rPr>
          <w:color w:val="000000"/>
          <w:sz w:val="28"/>
          <w:szCs w:val="28"/>
        </w:rPr>
      </w:pPr>
    </w:p>
    <w:p w:rsidR="00F3352E" w:rsidRPr="00A60903" w:rsidRDefault="00F3352E" w:rsidP="00A60903">
      <w:pPr>
        <w:pStyle w:val="BodyText"/>
        <w:rPr>
          <w:color w:val="000000"/>
          <w:sz w:val="28"/>
          <w:szCs w:val="28"/>
        </w:rPr>
      </w:pPr>
      <w:r w:rsidRPr="00A60903">
        <w:rPr>
          <w:color w:val="000000"/>
          <w:sz w:val="28"/>
          <w:szCs w:val="28"/>
        </w:rPr>
        <w:t>Në nenin 4 propozohet rishikimi në rritje i taksës së ndërtesës.</w:t>
      </w:r>
    </w:p>
    <w:p w:rsidR="00F3352E" w:rsidRPr="00A60903" w:rsidRDefault="00F3352E" w:rsidP="00A60903">
      <w:pPr>
        <w:pStyle w:val="BodyText"/>
        <w:rPr>
          <w:color w:val="000000"/>
          <w:sz w:val="28"/>
          <w:szCs w:val="28"/>
        </w:rPr>
      </w:pPr>
    </w:p>
    <w:p w:rsidR="00F3352E" w:rsidRPr="00A60903" w:rsidRDefault="00F3352E" w:rsidP="00A60903">
      <w:pPr>
        <w:pStyle w:val="BodyText"/>
        <w:rPr>
          <w:color w:val="000000"/>
          <w:sz w:val="28"/>
          <w:szCs w:val="28"/>
        </w:rPr>
      </w:pPr>
      <w:r w:rsidRPr="00A60903">
        <w:rPr>
          <w:color w:val="000000"/>
          <w:sz w:val="28"/>
          <w:szCs w:val="28"/>
        </w:rPr>
        <w:t xml:space="preserve">Në Shqipëri, baza e taksës mbi ndërtesat është sipërfaqja e ndërtimit në metër katrorë e ndërtesës ose e pjesës së saj, mbi dhe nën nivelin e tokës dhe për çdo kat. Sipërfaqja në pronësi të tatimpaguesit përcaktohet sipas dokumenteve që e vërtetojnë këtë pronësi. Kategoritë minimale të ndërtesave, për efekt të bazës së taksueshme, jepen në aneksin 1 që i </w:t>
      </w:r>
      <w:bookmarkStart w:id="1" w:name="OLE_LINK1"/>
      <w:bookmarkStart w:id="2" w:name="OLE_LINK2"/>
      <w:r w:rsidRPr="00A60903">
        <w:rPr>
          <w:color w:val="000000"/>
          <w:sz w:val="28"/>
          <w:szCs w:val="28"/>
        </w:rPr>
        <w:t>bashkëlidhet të ligjit të taksave vendore</w:t>
      </w:r>
      <w:bookmarkEnd w:id="1"/>
      <w:bookmarkEnd w:id="2"/>
      <w:r w:rsidRPr="00A60903">
        <w:rPr>
          <w:color w:val="000000"/>
          <w:sz w:val="28"/>
          <w:szCs w:val="28"/>
        </w:rPr>
        <w:t>. Për çdo kategori minimale të ndërtesave, këshilli bashkiak ose komunal mund të miratojë nënkategorizime të ndërtesave që ndodhen brenda territorit që mbulon.</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Taksa e pasurisë është trajtuar në vlerë për m</w:t>
      </w:r>
      <w:r w:rsidRPr="00A60903">
        <w:rPr>
          <w:rFonts w:ascii="Times New Roman" w:hAnsi="Times New Roman"/>
          <w:sz w:val="28"/>
          <w:szCs w:val="28"/>
          <w:vertAlign w:val="superscript"/>
        </w:rPr>
        <w:t>2</w:t>
      </w:r>
      <w:r w:rsidRPr="00A60903">
        <w:rPr>
          <w:rFonts w:ascii="Times New Roman" w:hAnsi="Times New Roman"/>
          <w:sz w:val="28"/>
          <w:szCs w:val="28"/>
        </w:rPr>
        <w:t xml:space="preserve">, duke përgjithësuar të gjithë tatimpaguesit me të vetmin përjashtim për ndërtesat e banimit, vitin e ndërtimit të tyre, viti 1993, dhe diferencimin e aktiviteteve tregtare që ushtrohen në pasuritë e taksueshme. </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Niveli i taksës së pasurisë në Shqipëri është shumë i ulët në krahasim me vendet e tjera të rajonit. Përveç të tjerave, këtu ka ndikuar edhe mosindeksimi i nivelit të kësaj takse, në kuptimin që vlera e pasurisë shtohet çdo vit, ndërsa niveli i taksimit të saj është fiks, lekë/m</w:t>
      </w:r>
      <w:r w:rsidRPr="00A60903">
        <w:rPr>
          <w:rFonts w:ascii="Times New Roman" w:hAnsi="Times New Roman"/>
          <w:sz w:val="28"/>
          <w:szCs w:val="28"/>
          <w:vertAlign w:val="superscript"/>
        </w:rPr>
        <w:t>2</w:t>
      </w:r>
      <w:r w:rsidRPr="00A60903">
        <w:rPr>
          <w:rFonts w:ascii="Times New Roman" w:hAnsi="Times New Roman"/>
          <w:sz w:val="28"/>
          <w:szCs w:val="28"/>
        </w:rPr>
        <w:t xml:space="preserve"> dhe i paindeksuar.</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color w:val="000000"/>
          <w:sz w:val="28"/>
          <w:szCs w:val="28"/>
        </w:rPr>
      </w:pPr>
      <w:r w:rsidRPr="00A60903">
        <w:rPr>
          <w:rFonts w:ascii="Times New Roman" w:hAnsi="Times New Roman"/>
          <w:sz w:val="28"/>
          <w:szCs w:val="28"/>
        </w:rPr>
        <w:t>Sipas vëzhgimeve të kryera në disa shtete, kjo taksë aplikohet mbi vlerën reale të pasurisë. Për arsye të problemeve aktuale që kanë njës</w:t>
      </w:r>
      <w:r>
        <w:rPr>
          <w:rFonts w:ascii="Times New Roman" w:hAnsi="Times New Roman"/>
          <w:sz w:val="28"/>
          <w:szCs w:val="28"/>
        </w:rPr>
        <w:t>itë e qeverisjes vendore me mir</w:t>
      </w:r>
      <w:r w:rsidRPr="00A60903">
        <w:rPr>
          <w:rFonts w:ascii="Times New Roman" w:hAnsi="Times New Roman"/>
          <w:sz w:val="28"/>
          <w:szCs w:val="28"/>
        </w:rPr>
        <w:t>administrimin e kësaj takse, nuk është bërë ndryshimi i mënyrës së taksimit të pasurisë, duke e lënë sipas modelit aktual, në lekë për m</w:t>
      </w:r>
      <w:r w:rsidRPr="00A60903">
        <w:rPr>
          <w:rFonts w:ascii="Times New Roman" w:hAnsi="Times New Roman"/>
          <w:sz w:val="28"/>
          <w:szCs w:val="28"/>
          <w:vertAlign w:val="superscript"/>
        </w:rPr>
        <w:t>2</w:t>
      </w:r>
      <w:r w:rsidRPr="00A60903">
        <w:rPr>
          <w:rFonts w:ascii="Times New Roman" w:hAnsi="Times New Roman"/>
          <w:sz w:val="28"/>
          <w:szCs w:val="28"/>
        </w:rPr>
        <w:t>. Propozohet rishikimi i aneksit 1 “</w:t>
      </w:r>
      <w:r w:rsidRPr="00A60903">
        <w:rPr>
          <w:rFonts w:ascii="Times New Roman" w:hAnsi="Times New Roman"/>
          <w:bCs/>
          <w:sz w:val="28"/>
          <w:szCs w:val="28"/>
        </w:rPr>
        <w:t>Nivelet treguese të taksës së ndërtesës</w:t>
      </w:r>
      <w:r w:rsidRPr="00A60903">
        <w:rPr>
          <w:rFonts w:ascii="Times New Roman" w:hAnsi="Times New Roman"/>
          <w:sz w:val="28"/>
          <w:szCs w:val="28"/>
        </w:rPr>
        <w:t>” duke hequr ndarjen e vitit të ndërtimit të një ndërtese, vitin 1993</w:t>
      </w:r>
      <w:r>
        <w:rPr>
          <w:rFonts w:ascii="Times New Roman" w:hAnsi="Times New Roman"/>
          <w:sz w:val="28"/>
          <w:szCs w:val="28"/>
        </w:rPr>
        <w:t>,</w:t>
      </w:r>
      <w:r w:rsidRPr="00A60903">
        <w:rPr>
          <w:rFonts w:ascii="Times New Roman" w:hAnsi="Times New Roman"/>
          <w:sz w:val="28"/>
          <w:szCs w:val="28"/>
        </w:rPr>
        <w:t xml:space="preserve"> dhe duke i trajtuar ndërtesat për qëllime banimi</w:t>
      </w:r>
      <w:r>
        <w:rPr>
          <w:rFonts w:ascii="Times New Roman" w:hAnsi="Times New Roman"/>
          <w:sz w:val="28"/>
          <w:szCs w:val="28"/>
        </w:rPr>
        <w:t>,</w:t>
      </w:r>
      <w:r w:rsidRPr="00A60903">
        <w:rPr>
          <w:rFonts w:ascii="Times New Roman" w:hAnsi="Times New Roman"/>
          <w:sz w:val="28"/>
          <w:szCs w:val="28"/>
        </w:rPr>
        <w:t xml:space="preserve"> të ndërtuara para vitit 1993</w:t>
      </w:r>
      <w:r>
        <w:rPr>
          <w:rFonts w:ascii="Times New Roman" w:hAnsi="Times New Roman"/>
          <w:sz w:val="28"/>
          <w:szCs w:val="28"/>
        </w:rPr>
        <w:t>,</w:t>
      </w:r>
      <w:r w:rsidRPr="00A60903">
        <w:rPr>
          <w:rFonts w:ascii="Times New Roman" w:hAnsi="Times New Roman"/>
          <w:sz w:val="28"/>
          <w:szCs w:val="28"/>
        </w:rPr>
        <w:t xml:space="preserve"> me të njëjtin nivel takse si ndërtesat e ndërtuara pas vitit 1993.</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Gjithashtu, propozohet rritje dyfish e taksës së ndërtesës që përdoret për qëllime biznesi dhe qëllime te tjera.</w:t>
      </w:r>
    </w:p>
    <w:p w:rsidR="00F3352E" w:rsidRDefault="00F3352E" w:rsidP="00A60903">
      <w:pPr>
        <w:pStyle w:val="BodyText"/>
        <w:rPr>
          <w:sz w:val="28"/>
          <w:szCs w:val="28"/>
        </w:rPr>
      </w:pPr>
    </w:p>
    <w:p w:rsidR="00F3352E" w:rsidRPr="00A60903" w:rsidRDefault="00F3352E" w:rsidP="00A60903">
      <w:pPr>
        <w:pStyle w:val="BodyText"/>
        <w:rPr>
          <w:sz w:val="28"/>
          <w:szCs w:val="28"/>
        </w:rPr>
      </w:pPr>
      <w:r w:rsidRPr="00A60903">
        <w:rPr>
          <w:sz w:val="28"/>
          <w:szCs w:val="28"/>
        </w:rPr>
        <w:t>Neni 6</w:t>
      </w:r>
      <w:r>
        <w:rPr>
          <w:sz w:val="28"/>
          <w:szCs w:val="28"/>
        </w:rPr>
        <w:t>,</w:t>
      </w:r>
      <w:r w:rsidRPr="00A60903">
        <w:rPr>
          <w:sz w:val="28"/>
          <w:szCs w:val="28"/>
        </w:rPr>
        <w:t xml:space="preserve"> i projektligjit</w:t>
      </w:r>
      <w:r>
        <w:rPr>
          <w:sz w:val="28"/>
          <w:szCs w:val="28"/>
        </w:rPr>
        <w:t>,</w:t>
      </w:r>
      <w:r w:rsidRPr="00A60903">
        <w:rPr>
          <w:sz w:val="28"/>
          <w:szCs w:val="28"/>
        </w:rPr>
        <w:t xml:space="preserve"> lidhet me përmirësimin e procedurës së administrimit nga pushteti vendor të taksës së fjetjes në hotel. Konkretisht,</w:t>
      </w:r>
      <w:r>
        <w:rPr>
          <w:sz w:val="28"/>
          <w:szCs w:val="28"/>
        </w:rPr>
        <w:t xml:space="preserve"> propozohet që çdo gjashtë muaj</w:t>
      </w:r>
      <w:r w:rsidRPr="00A60903">
        <w:rPr>
          <w:sz w:val="28"/>
          <w:szCs w:val="28"/>
        </w:rPr>
        <w:t xml:space="preserve"> ho</w:t>
      </w:r>
      <w:r>
        <w:rPr>
          <w:sz w:val="28"/>
          <w:szCs w:val="28"/>
        </w:rPr>
        <w:t>telet të paraqesin për miratim çmimet e fjetjes në hotel te</w:t>
      </w:r>
      <w:r w:rsidRPr="00A60903">
        <w:rPr>
          <w:sz w:val="28"/>
          <w:szCs w:val="28"/>
        </w:rPr>
        <w:t xml:space="preserve"> bashkitë dhe komunat. Bashkitë dhe komunat miratojnë çmimet çdo gjashtë mujor, për efekt të taksës së fjetjes në hotel, bazuar në sondazhet e kryera në treg.</w:t>
      </w:r>
    </w:p>
    <w:p w:rsidR="00F3352E" w:rsidRDefault="00F3352E" w:rsidP="00A60903">
      <w:pPr>
        <w:spacing w:after="0" w:line="240" w:lineRule="auto"/>
        <w:jc w:val="both"/>
        <w:rPr>
          <w:rFonts w:ascii="Times New Roman" w:hAnsi="Times New Roman"/>
          <w:sz w:val="28"/>
          <w:szCs w:val="28"/>
        </w:rPr>
      </w:pPr>
    </w:p>
    <w:p w:rsidR="00F3352E" w:rsidRPr="00A60903" w:rsidRDefault="00F3352E" w:rsidP="00A60903">
      <w:pPr>
        <w:spacing w:after="0" w:line="240" w:lineRule="auto"/>
        <w:jc w:val="both"/>
        <w:rPr>
          <w:rFonts w:ascii="Times New Roman" w:hAnsi="Times New Roman"/>
          <w:sz w:val="28"/>
          <w:szCs w:val="28"/>
        </w:rPr>
      </w:pPr>
      <w:r w:rsidRPr="00A60903">
        <w:rPr>
          <w:rFonts w:ascii="Times New Roman" w:hAnsi="Times New Roman"/>
          <w:sz w:val="28"/>
          <w:szCs w:val="28"/>
        </w:rPr>
        <w:t>Niveli i taksës së fjetjes në hotel është deri në 5 për qind të çmimit të fjetjes. Në bazë të të dhënave të njësive të qeverisjes vendore, rezulton se hotelet paguajnë nivele shumë të ulëta të kësaj takse për arsye të raportimit të çmimeve shuma të ulëta të fjetjes në hotel. Detyrimi i afishimit të çmimeve të fjetjes dhe miratimi i tyre n</w:t>
      </w:r>
      <w:r>
        <w:rPr>
          <w:rFonts w:ascii="Times New Roman" w:hAnsi="Times New Roman"/>
          <w:sz w:val="28"/>
          <w:szCs w:val="28"/>
        </w:rPr>
        <w:t>ga njësitë e qeverisjes vendore</w:t>
      </w:r>
      <w:r w:rsidRPr="00A60903">
        <w:rPr>
          <w:rFonts w:ascii="Times New Roman" w:hAnsi="Times New Roman"/>
          <w:sz w:val="28"/>
          <w:szCs w:val="28"/>
        </w:rPr>
        <w:t xml:space="preserve"> synon të s</w:t>
      </w:r>
      <w:r>
        <w:rPr>
          <w:rFonts w:ascii="Times New Roman" w:hAnsi="Times New Roman"/>
          <w:sz w:val="28"/>
          <w:szCs w:val="28"/>
        </w:rPr>
        <w:t>jellë të ardhura shtesë nga mir</w:t>
      </w:r>
      <w:r w:rsidRPr="00A60903">
        <w:rPr>
          <w:rFonts w:ascii="Times New Roman" w:hAnsi="Times New Roman"/>
          <w:sz w:val="28"/>
          <w:szCs w:val="28"/>
        </w:rPr>
        <w:t>administrimi i procedurës.</w:t>
      </w:r>
    </w:p>
    <w:p w:rsidR="00F3352E" w:rsidRPr="00A60903" w:rsidRDefault="00F3352E" w:rsidP="00A60903">
      <w:pPr>
        <w:pStyle w:val="Default"/>
        <w:jc w:val="both"/>
        <w:rPr>
          <w:sz w:val="28"/>
          <w:szCs w:val="28"/>
          <w:lang w:val="sq-AL"/>
        </w:rPr>
      </w:pPr>
    </w:p>
    <w:p w:rsidR="00F3352E" w:rsidRPr="00A60903" w:rsidRDefault="00F3352E" w:rsidP="00A60903">
      <w:pPr>
        <w:pStyle w:val="Default"/>
        <w:jc w:val="both"/>
        <w:rPr>
          <w:sz w:val="28"/>
          <w:szCs w:val="28"/>
          <w:lang w:val="sq-AL"/>
        </w:rPr>
      </w:pPr>
      <w:r>
        <w:rPr>
          <w:sz w:val="28"/>
          <w:szCs w:val="28"/>
          <w:lang w:val="sq-AL"/>
        </w:rPr>
        <w:t>Në nenet</w:t>
      </w:r>
      <w:r w:rsidRPr="00A60903">
        <w:rPr>
          <w:sz w:val="28"/>
          <w:szCs w:val="28"/>
          <w:lang w:val="sq-AL"/>
        </w:rPr>
        <w:t xml:space="preserve"> 7 dhe 8</w:t>
      </w:r>
      <w:r>
        <w:rPr>
          <w:sz w:val="28"/>
          <w:szCs w:val="28"/>
          <w:lang w:val="sq-AL"/>
        </w:rPr>
        <w:t>,</w:t>
      </w:r>
      <w:r w:rsidRPr="00A60903">
        <w:rPr>
          <w:sz w:val="28"/>
          <w:szCs w:val="28"/>
          <w:lang w:val="sq-AL"/>
        </w:rPr>
        <w:t xml:space="preserve"> të projektligjit, është propozuar heqja e tavanit të masës së taksave dhe tarifave të përkohshme që vendos këshilli bashkiak apo komunal. </w:t>
      </w:r>
    </w:p>
    <w:p w:rsidR="00F3352E" w:rsidRPr="00A60903" w:rsidRDefault="00F3352E" w:rsidP="00A60903">
      <w:pPr>
        <w:pStyle w:val="Default"/>
        <w:jc w:val="both"/>
        <w:rPr>
          <w:sz w:val="28"/>
          <w:szCs w:val="28"/>
          <w:lang w:val="sq-AL"/>
        </w:rPr>
      </w:pPr>
    </w:p>
    <w:p w:rsidR="00F3352E" w:rsidRPr="00A60903" w:rsidRDefault="00F3352E" w:rsidP="00A60903">
      <w:pPr>
        <w:pStyle w:val="Default"/>
        <w:jc w:val="both"/>
        <w:rPr>
          <w:sz w:val="28"/>
          <w:szCs w:val="28"/>
          <w:lang w:val="sq-AL"/>
        </w:rPr>
      </w:pPr>
      <w:r w:rsidRPr="00A60903">
        <w:rPr>
          <w:sz w:val="28"/>
          <w:szCs w:val="28"/>
          <w:lang w:val="sq-AL"/>
        </w:rPr>
        <w:t>Aktualisht, në bazë të neneve 33 dhe 34</w:t>
      </w:r>
      <w:r>
        <w:rPr>
          <w:sz w:val="28"/>
          <w:szCs w:val="28"/>
          <w:lang w:val="sq-AL"/>
        </w:rPr>
        <w:t>,</w:t>
      </w:r>
      <w:r w:rsidRPr="00A60903">
        <w:rPr>
          <w:sz w:val="28"/>
          <w:szCs w:val="28"/>
          <w:lang w:val="sq-AL"/>
        </w:rPr>
        <w:t xml:space="preserve"> të ligjit për sistemin e taksave vendore, masa e taksës dhe tarifës së përkohshme nuk duhet të kalojnë kufirin plus 10 për qind të nivelit tregues të taksës së biznesit të vogël. Me shfuqizimin e taksës së biznesit të vogël, është propozuar edhe heqja e këtij kufizimi ligjor për bashkitë dhe komunat, kufizim i cili ka ndikuar në politikëbërjen e këtyre njësive, të cilat nuk kanë diskrecionin e duhur për vendosjen e masës së tarifave dhe taksave të tyre të përkohshme.</w:t>
      </w:r>
    </w:p>
    <w:p w:rsidR="00F3352E" w:rsidRPr="00A60903" w:rsidRDefault="00F3352E" w:rsidP="00A60903">
      <w:pPr>
        <w:pStyle w:val="Default"/>
        <w:jc w:val="both"/>
        <w:rPr>
          <w:sz w:val="28"/>
          <w:szCs w:val="28"/>
          <w:lang w:val="sq-AL"/>
        </w:rPr>
      </w:pPr>
    </w:p>
    <w:p w:rsidR="00F3352E" w:rsidRPr="00A60903" w:rsidRDefault="00F3352E" w:rsidP="00A60903">
      <w:pPr>
        <w:pStyle w:val="Default"/>
        <w:jc w:val="both"/>
        <w:rPr>
          <w:sz w:val="28"/>
          <w:szCs w:val="28"/>
          <w:lang w:val="sq-AL"/>
        </w:rPr>
      </w:pPr>
    </w:p>
    <w:p w:rsidR="00F3352E" w:rsidRPr="00A60903" w:rsidRDefault="00F3352E" w:rsidP="00A60903">
      <w:pPr>
        <w:spacing w:after="0" w:line="240" w:lineRule="auto"/>
        <w:rPr>
          <w:rFonts w:ascii="Times New Roman" w:hAnsi="Times New Roman"/>
          <w:b/>
          <w:sz w:val="28"/>
          <w:szCs w:val="28"/>
        </w:rPr>
      </w:pPr>
    </w:p>
    <w:p w:rsidR="00F3352E" w:rsidRPr="00D77246" w:rsidRDefault="00F3352E" w:rsidP="00D77246">
      <w:pPr>
        <w:spacing w:after="0" w:line="240" w:lineRule="auto"/>
        <w:jc w:val="center"/>
        <w:rPr>
          <w:rFonts w:ascii="Times New Roman" w:hAnsi="Times New Roman"/>
          <w:b/>
          <w:sz w:val="28"/>
          <w:szCs w:val="28"/>
        </w:rPr>
      </w:pPr>
      <w:r w:rsidRPr="00D77246">
        <w:rPr>
          <w:rFonts w:ascii="Times New Roman" w:hAnsi="Times New Roman"/>
          <w:b/>
          <w:sz w:val="28"/>
          <w:szCs w:val="28"/>
        </w:rPr>
        <w:t>K</w:t>
      </w:r>
      <w:r>
        <w:rPr>
          <w:rFonts w:ascii="Times New Roman" w:hAnsi="Times New Roman"/>
          <w:b/>
          <w:sz w:val="28"/>
          <w:szCs w:val="28"/>
        </w:rPr>
        <w:t>Ë</w:t>
      </w:r>
      <w:r w:rsidRPr="00D77246">
        <w:rPr>
          <w:rFonts w:ascii="Times New Roman" w:hAnsi="Times New Roman"/>
          <w:b/>
          <w:sz w:val="28"/>
          <w:szCs w:val="28"/>
        </w:rPr>
        <w:t>SHILLI I MINISTRAVE</w:t>
      </w:r>
    </w:p>
    <w:sectPr w:rsidR="00F3352E" w:rsidRPr="00D77246" w:rsidSect="00A60903">
      <w:footerReference w:type="even" r:id="rId6"/>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52E" w:rsidRDefault="00F3352E">
      <w:pPr>
        <w:spacing w:after="0" w:line="240" w:lineRule="auto"/>
      </w:pPr>
      <w:r>
        <w:separator/>
      </w:r>
    </w:p>
  </w:endnote>
  <w:endnote w:type="continuationSeparator" w:id="0">
    <w:p w:rsidR="00F3352E" w:rsidRDefault="00F335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52E" w:rsidRDefault="00F33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352E" w:rsidRDefault="00F3352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52E" w:rsidRDefault="00F33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3352E" w:rsidRPr="009F30BB" w:rsidRDefault="00F3352E" w:rsidP="00014220">
    <w:pPr>
      <w:pStyle w:val="Footer"/>
      <w:pBdr>
        <w:top w:val="single" w:sz="4" w:space="1" w:color="auto"/>
      </w:pBd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52E" w:rsidRDefault="00F3352E">
      <w:pPr>
        <w:spacing w:after="0" w:line="240" w:lineRule="auto"/>
      </w:pPr>
      <w:r>
        <w:separator/>
      </w:r>
    </w:p>
  </w:footnote>
  <w:footnote w:type="continuationSeparator" w:id="0">
    <w:p w:rsidR="00F3352E" w:rsidRDefault="00F335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1E27"/>
    <w:rsid w:val="00014220"/>
    <w:rsid w:val="003627A0"/>
    <w:rsid w:val="00405153"/>
    <w:rsid w:val="005027A3"/>
    <w:rsid w:val="005A2710"/>
    <w:rsid w:val="006E49C5"/>
    <w:rsid w:val="008B4BA3"/>
    <w:rsid w:val="00994D41"/>
    <w:rsid w:val="009C0632"/>
    <w:rsid w:val="009F30BB"/>
    <w:rsid w:val="00A60903"/>
    <w:rsid w:val="00BB0B81"/>
    <w:rsid w:val="00C91E27"/>
    <w:rsid w:val="00C969F3"/>
    <w:rsid w:val="00D77246"/>
    <w:rsid w:val="00DB7069"/>
    <w:rsid w:val="00EE2351"/>
    <w:rsid w:val="00F3352E"/>
    <w:rsid w:val="00FC7DF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7A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91E27"/>
    <w:pPr>
      <w:spacing w:after="0" w:line="240" w:lineRule="auto"/>
      <w:jc w:val="both"/>
    </w:pPr>
    <w:rPr>
      <w:rFonts w:ascii="Times New Roman" w:eastAsia="MS Mincho" w:hAnsi="Times New Roman"/>
      <w:sz w:val="24"/>
      <w:szCs w:val="20"/>
      <w:lang w:val="sq-AL"/>
    </w:rPr>
  </w:style>
  <w:style w:type="character" w:customStyle="1" w:styleId="BodyTextChar">
    <w:name w:val="Body Text Char"/>
    <w:basedOn w:val="DefaultParagraphFont"/>
    <w:link w:val="BodyText"/>
    <w:uiPriority w:val="99"/>
    <w:locked/>
    <w:rsid w:val="00C91E27"/>
    <w:rPr>
      <w:rFonts w:ascii="Times New Roman" w:eastAsia="MS Mincho" w:hAnsi="Times New Roman" w:cs="Times New Roman"/>
      <w:sz w:val="20"/>
      <w:szCs w:val="20"/>
      <w:lang w:val="sq-AL"/>
    </w:rPr>
  </w:style>
  <w:style w:type="paragraph" w:styleId="Header">
    <w:name w:val="header"/>
    <w:basedOn w:val="Normal"/>
    <w:link w:val="HeaderChar"/>
    <w:uiPriority w:val="99"/>
    <w:rsid w:val="00C91E27"/>
    <w:pPr>
      <w:tabs>
        <w:tab w:val="center" w:pos="4320"/>
        <w:tab w:val="right" w:pos="8640"/>
      </w:tabs>
      <w:spacing w:after="0" w:line="240" w:lineRule="auto"/>
    </w:pPr>
    <w:rPr>
      <w:rFonts w:ascii="Times New Roman" w:hAnsi="Times New Roman"/>
      <w:color w:val="000000"/>
      <w:sz w:val="24"/>
      <w:szCs w:val="20"/>
    </w:rPr>
  </w:style>
  <w:style w:type="character" w:customStyle="1" w:styleId="HeaderChar">
    <w:name w:val="Header Char"/>
    <w:basedOn w:val="DefaultParagraphFont"/>
    <w:link w:val="Header"/>
    <w:uiPriority w:val="99"/>
    <w:locked/>
    <w:rsid w:val="00C91E27"/>
    <w:rPr>
      <w:rFonts w:ascii="Times New Roman" w:hAnsi="Times New Roman" w:cs="Times New Roman"/>
      <w:color w:val="000000"/>
      <w:sz w:val="20"/>
      <w:szCs w:val="20"/>
    </w:rPr>
  </w:style>
  <w:style w:type="paragraph" w:customStyle="1" w:styleId="Default">
    <w:name w:val="Default"/>
    <w:uiPriority w:val="99"/>
    <w:rsid w:val="00C91E27"/>
    <w:pPr>
      <w:autoSpaceDE w:val="0"/>
      <w:autoSpaceDN w:val="0"/>
      <w:adjustRightInd w:val="0"/>
    </w:pPr>
    <w:rPr>
      <w:rFonts w:ascii="Times New Roman" w:hAnsi="Times New Roman"/>
      <w:color w:val="000000"/>
      <w:sz w:val="24"/>
      <w:szCs w:val="24"/>
    </w:rPr>
  </w:style>
  <w:style w:type="character" w:customStyle="1" w:styleId="TitulliChar">
    <w:name w:val="Titulli Char"/>
    <w:basedOn w:val="DefaultParagraphFont"/>
    <w:link w:val="Titulli"/>
    <w:uiPriority w:val="99"/>
    <w:locked/>
    <w:rsid w:val="00C91E27"/>
    <w:rPr>
      <w:rFonts w:ascii="CG Times" w:hAnsi="CG Times" w:cs="Times New Roman"/>
      <w:b/>
      <w:caps/>
      <w:sz w:val="22"/>
      <w:szCs w:val="22"/>
      <w:lang w:val="en-GB" w:eastAsia="en-US" w:bidi="ar-SA"/>
    </w:rPr>
  </w:style>
  <w:style w:type="paragraph" w:customStyle="1" w:styleId="Titulli">
    <w:name w:val="Titulli"/>
    <w:next w:val="Normal"/>
    <w:link w:val="TitulliChar"/>
    <w:uiPriority w:val="99"/>
    <w:rsid w:val="00C91E27"/>
    <w:pPr>
      <w:keepNext/>
      <w:widowControl w:val="0"/>
      <w:jc w:val="center"/>
      <w:outlineLvl w:val="1"/>
    </w:pPr>
    <w:rPr>
      <w:rFonts w:ascii="CG Times" w:hAnsi="CG Times"/>
      <w:b/>
      <w:caps/>
      <w:lang w:val="en-GB"/>
    </w:rPr>
  </w:style>
  <w:style w:type="paragraph" w:styleId="Footer">
    <w:name w:val="footer"/>
    <w:basedOn w:val="Normal"/>
    <w:link w:val="FooterChar"/>
    <w:uiPriority w:val="99"/>
    <w:rsid w:val="00C91E27"/>
    <w:pPr>
      <w:tabs>
        <w:tab w:val="center" w:pos="4320"/>
        <w:tab w:val="right" w:pos="8640"/>
      </w:tabs>
      <w:spacing w:after="0" w:line="240" w:lineRule="auto"/>
    </w:pPr>
    <w:rPr>
      <w:rFonts w:ascii="Times New Roman" w:hAnsi="Times New Roman"/>
      <w:sz w:val="24"/>
      <w:szCs w:val="24"/>
      <w:lang w:val="sq-AL"/>
    </w:rPr>
  </w:style>
  <w:style w:type="character" w:customStyle="1" w:styleId="FooterChar">
    <w:name w:val="Footer Char"/>
    <w:basedOn w:val="DefaultParagraphFont"/>
    <w:link w:val="Footer"/>
    <w:uiPriority w:val="99"/>
    <w:locked/>
    <w:rsid w:val="00C91E27"/>
    <w:rPr>
      <w:rFonts w:ascii="Times New Roman" w:hAnsi="Times New Roman" w:cs="Times New Roman"/>
      <w:sz w:val="24"/>
      <w:szCs w:val="24"/>
      <w:lang w:val="sq-AL"/>
    </w:rPr>
  </w:style>
  <w:style w:type="character" w:styleId="PageNumber">
    <w:name w:val="page number"/>
    <w:basedOn w:val="DefaultParagraphFont"/>
    <w:uiPriority w:val="99"/>
    <w:rsid w:val="00C91E27"/>
    <w:rPr>
      <w:rFonts w:cs="Times New Roman"/>
    </w:rPr>
  </w:style>
</w:styles>
</file>

<file path=word/webSettings.xml><?xml version="1.0" encoding="utf-8"?>
<w:webSettings xmlns:r="http://schemas.openxmlformats.org/officeDocument/2006/relationships" xmlns:w="http://schemas.openxmlformats.org/wordprocessingml/2006/main">
  <w:divs>
    <w:div w:id="17602489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985</Words>
  <Characters>5616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 shoqerues</dc:title>
  <dc:subject/>
  <dc:creator>arminda.murrizi</dc:creator>
  <cp:keywords/>
  <dc:description/>
  <cp:lastModifiedBy>Aida</cp:lastModifiedBy>
  <cp:revision>2</cp:revision>
  <dcterms:created xsi:type="dcterms:W3CDTF">2013-12-15T15:00:00Z</dcterms:created>
  <dcterms:modified xsi:type="dcterms:W3CDTF">2013-12-15T15:00:00Z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0x00160036B778311E41A6DC2BBB9D24E566</vt:lpwstr>
  </property>
  <property fmtid="{D5CDD505-2E9C-101B-9397-08002B2CF9AE}" pid="3" name="TemplateUrl">
    <vt:lpwstr/>
  </property>
  <property fmtid="{D5CDD505-2E9C-101B-9397-08002B2CF9AE}" pid="4" name="ProtocolNumberIn">
    <vt:lpwstr/>
  </property>
  <property fmtid="{D5CDD505-2E9C-101B-9397-08002B2CF9AE}" pid="5" name="DocumentTypeId">
    <vt:lpwstr>3</vt:lpwstr>
  </property>
  <property fmtid="{D5CDD505-2E9C-101B-9397-08002B2CF9AE}" pid="6" name="ProtocolNumberOut">
    <vt:lpwstr>18584/1</vt:lpwstr>
  </property>
  <property fmtid="{D5CDD505-2E9C-101B-9397-08002B2CF9AE}" pid="7" name="_SourceUrl">
    <vt:lpwstr/>
  </property>
  <property fmtid="{D5CDD505-2E9C-101B-9397-08002B2CF9AE}" pid="8" name="xd_ProgID">
    <vt:lpwstr/>
  </property>
  <property fmtid="{D5CDD505-2E9C-101B-9397-08002B2CF9AE}" pid="9" name="Order">
    <vt:lpwstr/>
  </property>
  <property fmtid="{D5CDD505-2E9C-101B-9397-08002B2CF9AE}" pid="10" name="MetaInfo">
    <vt:lpwstr/>
  </property>
</Properties>
</file>