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8A2" w:rsidRPr="00C124B0" w:rsidRDefault="007038A2" w:rsidP="007765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124B0">
        <w:rPr>
          <w:rFonts w:ascii="Times New Roman" w:hAnsi="Times New Roman"/>
          <w:b/>
          <w:sz w:val="28"/>
          <w:szCs w:val="28"/>
        </w:rPr>
        <w:t>R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124B0">
        <w:rPr>
          <w:rFonts w:ascii="Times New Roman" w:hAnsi="Times New Roman"/>
          <w:b/>
          <w:sz w:val="28"/>
          <w:szCs w:val="28"/>
        </w:rPr>
        <w:t>E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124B0">
        <w:rPr>
          <w:rFonts w:ascii="Times New Roman" w:hAnsi="Times New Roman"/>
          <w:b/>
          <w:sz w:val="28"/>
          <w:szCs w:val="28"/>
        </w:rPr>
        <w:t>L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124B0">
        <w:rPr>
          <w:rFonts w:ascii="Times New Roman" w:hAnsi="Times New Roman"/>
          <w:b/>
          <w:sz w:val="28"/>
          <w:szCs w:val="28"/>
        </w:rPr>
        <w:t>A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124B0">
        <w:rPr>
          <w:rFonts w:ascii="Times New Roman" w:hAnsi="Times New Roman"/>
          <w:b/>
          <w:sz w:val="28"/>
          <w:szCs w:val="28"/>
        </w:rPr>
        <w:t>C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124B0">
        <w:rPr>
          <w:rFonts w:ascii="Times New Roman" w:hAnsi="Times New Roman"/>
          <w:b/>
          <w:sz w:val="28"/>
          <w:szCs w:val="28"/>
        </w:rPr>
        <w:t>I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124B0">
        <w:rPr>
          <w:rFonts w:ascii="Times New Roman" w:hAnsi="Times New Roman"/>
          <w:b/>
          <w:sz w:val="28"/>
          <w:szCs w:val="28"/>
        </w:rPr>
        <w:t>O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124B0">
        <w:rPr>
          <w:rFonts w:ascii="Times New Roman" w:hAnsi="Times New Roman"/>
          <w:b/>
          <w:sz w:val="28"/>
          <w:szCs w:val="28"/>
        </w:rPr>
        <w:t>N</w:t>
      </w:r>
    </w:p>
    <w:p w:rsidR="007038A2" w:rsidRPr="00C124B0" w:rsidRDefault="007038A2" w:rsidP="007765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38A2" w:rsidRPr="00C124B0" w:rsidRDefault="007038A2" w:rsidP="007765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38A2" w:rsidRPr="00C124B0" w:rsidRDefault="007038A2" w:rsidP="007765CB">
      <w:pPr>
        <w:pStyle w:val="Titulli"/>
        <w:rPr>
          <w:rFonts w:ascii="Times New Roman" w:hAnsi="Times New Roman"/>
          <w:sz w:val="28"/>
          <w:szCs w:val="28"/>
          <w:lang w:val="sq-AL"/>
        </w:rPr>
      </w:pPr>
      <w:r w:rsidRPr="00C124B0">
        <w:rPr>
          <w:rFonts w:ascii="Times New Roman" w:hAnsi="Times New Roman"/>
          <w:sz w:val="28"/>
          <w:szCs w:val="28"/>
          <w:lang w:val="sq-AL"/>
        </w:rPr>
        <w:t>PËR</w:t>
      </w:r>
    </w:p>
    <w:p w:rsidR="007038A2" w:rsidRPr="00C124B0" w:rsidRDefault="007038A2" w:rsidP="007765C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38A2" w:rsidRDefault="007038A2" w:rsidP="007765C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C124B0">
        <w:rPr>
          <w:rFonts w:ascii="Times New Roman" w:hAnsi="Times New Roman"/>
          <w:b/>
          <w:sz w:val="28"/>
          <w:szCs w:val="28"/>
          <w:u w:val="single"/>
        </w:rPr>
        <w:t>PROJEKTLIGJI</w:t>
      </w:r>
      <w:r>
        <w:rPr>
          <w:rFonts w:ascii="Times New Roman" w:hAnsi="Times New Roman"/>
          <w:b/>
          <w:sz w:val="28"/>
          <w:szCs w:val="28"/>
          <w:u w:val="single"/>
        </w:rPr>
        <w:t>N</w:t>
      </w:r>
      <w:r w:rsidRPr="00C124B0">
        <w:rPr>
          <w:rFonts w:ascii="Times New Roman" w:hAnsi="Times New Roman"/>
          <w:b/>
          <w:sz w:val="28"/>
          <w:szCs w:val="28"/>
          <w:u w:val="single"/>
        </w:rPr>
        <w:t xml:space="preserve"> “PËR DISA SHTESA DHE NDRYSHIME NË LIGJIN </w:t>
      </w:r>
      <w:r w:rsidRPr="00C124B0">
        <w:rPr>
          <w:rFonts w:ascii="Times New Roman" w:hAnsi="Times New Roman"/>
          <w:b/>
          <w:bCs/>
          <w:sz w:val="28"/>
          <w:szCs w:val="28"/>
          <w:u w:val="single"/>
        </w:rPr>
        <w:t>NR. 7928, DATË 27.4.1995</w:t>
      </w:r>
      <w:r w:rsidRPr="00C124B0">
        <w:rPr>
          <w:rFonts w:ascii="Times New Roman" w:hAnsi="Times New Roman"/>
          <w:b/>
          <w:sz w:val="28"/>
          <w:szCs w:val="28"/>
          <w:u w:val="single"/>
        </w:rPr>
        <w:t xml:space="preserve"> “</w:t>
      </w:r>
      <w:r w:rsidRPr="00C124B0">
        <w:rPr>
          <w:rFonts w:ascii="Times New Roman" w:hAnsi="Times New Roman"/>
          <w:b/>
          <w:bCs/>
          <w:sz w:val="28"/>
          <w:szCs w:val="28"/>
          <w:u w:val="single"/>
        </w:rPr>
        <w:t>PËR</w:t>
      </w:r>
      <w:r w:rsidRPr="00C124B0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C124B0">
        <w:rPr>
          <w:rFonts w:ascii="Times New Roman" w:hAnsi="Times New Roman"/>
          <w:b/>
          <w:bCs/>
          <w:sz w:val="28"/>
          <w:szCs w:val="28"/>
          <w:u w:val="single"/>
        </w:rPr>
        <w:t>TATIMIN MBI VLERËN E SHTUAR”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,</w:t>
      </w:r>
    </w:p>
    <w:p w:rsidR="007038A2" w:rsidRPr="00C124B0" w:rsidRDefault="007038A2" w:rsidP="007765C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C124B0">
        <w:rPr>
          <w:rFonts w:ascii="Times New Roman" w:hAnsi="Times New Roman"/>
          <w:b/>
          <w:bCs/>
          <w:sz w:val="28"/>
          <w:szCs w:val="28"/>
          <w:u w:val="single"/>
        </w:rPr>
        <w:t>I NDRYSHUAR”</w:t>
      </w:r>
    </w:p>
    <w:p w:rsidR="007038A2" w:rsidRPr="00C124B0" w:rsidRDefault="007038A2" w:rsidP="007765C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038A2" w:rsidRPr="00C124B0" w:rsidRDefault="007038A2" w:rsidP="007765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Ligji “</w:t>
      </w:r>
      <w:r w:rsidRPr="00C124B0">
        <w:rPr>
          <w:rFonts w:ascii="Times New Roman" w:hAnsi="Times New Roman"/>
          <w:sz w:val="28"/>
          <w:szCs w:val="28"/>
        </w:rPr>
        <w:t>P</w:t>
      </w:r>
      <w:r>
        <w:rPr>
          <w:rFonts w:ascii="Times New Roman" w:hAnsi="Times New Roman"/>
          <w:sz w:val="28"/>
          <w:szCs w:val="28"/>
        </w:rPr>
        <w:t>ër disa ndryshime në ligjin nr.</w:t>
      </w:r>
      <w:r w:rsidRPr="00C124B0">
        <w:rPr>
          <w:rFonts w:ascii="Times New Roman" w:hAnsi="Times New Roman"/>
          <w:sz w:val="28"/>
          <w:szCs w:val="28"/>
        </w:rPr>
        <w:t>7928, datë 27.4.1995, “Për tatimin mbi vlerën e shtuar” të ndryshuar</w:t>
      </w:r>
      <w:r>
        <w:rPr>
          <w:rFonts w:ascii="Times New Roman" w:hAnsi="Times New Roman"/>
          <w:sz w:val="28"/>
          <w:szCs w:val="28"/>
        </w:rPr>
        <w:t>”</w:t>
      </w:r>
      <w:r w:rsidRPr="00C124B0">
        <w:rPr>
          <w:rFonts w:ascii="Times New Roman" w:hAnsi="Times New Roman"/>
          <w:sz w:val="28"/>
          <w:szCs w:val="28"/>
        </w:rPr>
        <w:t>, propozohet në mbështetje të neneve 78, 83, pika 1</w:t>
      </w:r>
      <w:r>
        <w:rPr>
          <w:rFonts w:ascii="Times New Roman" w:hAnsi="Times New Roman"/>
          <w:sz w:val="28"/>
          <w:szCs w:val="28"/>
        </w:rPr>
        <w:t>, 84, pika 4,</w:t>
      </w:r>
      <w:r w:rsidRPr="00C124B0">
        <w:rPr>
          <w:rFonts w:ascii="Times New Roman" w:hAnsi="Times New Roman"/>
          <w:sz w:val="28"/>
          <w:szCs w:val="28"/>
        </w:rPr>
        <w:t xml:space="preserve"> dhe 155, të Kushtetutës.</w:t>
      </w:r>
    </w:p>
    <w:p w:rsidR="007038A2" w:rsidRDefault="007038A2" w:rsidP="007765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38A2" w:rsidRPr="00C124B0" w:rsidRDefault="007038A2" w:rsidP="007765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24B0">
        <w:rPr>
          <w:rFonts w:ascii="Times New Roman" w:hAnsi="Times New Roman"/>
          <w:sz w:val="28"/>
          <w:szCs w:val="28"/>
        </w:rPr>
        <w:t>Nen</w:t>
      </w:r>
      <w:r>
        <w:rPr>
          <w:rFonts w:ascii="Times New Roman" w:hAnsi="Times New Roman"/>
          <w:sz w:val="28"/>
          <w:szCs w:val="28"/>
        </w:rPr>
        <w:t>et</w:t>
      </w:r>
      <w:r w:rsidRPr="00C124B0">
        <w:rPr>
          <w:rFonts w:ascii="Times New Roman" w:hAnsi="Times New Roman"/>
          <w:sz w:val="28"/>
          <w:szCs w:val="28"/>
        </w:rPr>
        <w:t xml:space="preserve"> 1, 2 dhe 5 i projektligjit propozon përjashtimin nga TVSH-ja për barnat dhe shërbimet shëndetësore nga data 1 prill 2014.</w:t>
      </w:r>
    </w:p>
    <w:p w:rsidR="007038A2" w:rsidRDefault="007038A2" w:rsidP="007765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38A2" w:rsidRPr="00C124B0" w:rsidRDefault="007038A2" w:rsidP="007765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24B0">
        <w:rPr>
          <w:rFonts w:ascii="Times New Roman" w:hAnsi="Times New Roman"/>
          <w:sz w:val="28"/>
          <w:szCs w:val="28"/>
        </w:rPr>
        <w:t xml:space="preserve">Arsyeja kryesore e këtij propozimi është ofrimi i shërbimit shëndetësor dhe barnave me një çmim më të ulët te pacienti, duke hequr TVSH-në prej 10% si tatim që rëndon </w:t>
      </w:r>
      <w:r>
        <w:rPr>
          <w:rFonts w:ascii="Times New Roman" w:hAnsi="Times New Roman"/>
          <w:sz w:val="28"/>
          <w:szCs w:val="28"/>
        </w:rPr>
        <w:t>drejtpërdrejt</w:t>
      </w:r>
      <w:r w:rsidRPr="00C124B0">
        <w:rPr>
          <w:rFonts w:ascii="Times New Roman" w:hAnsi="Times New Roman"/>
          <w:sz w:val="28"/>
          <w:szCs w:val="28"/>
        </w:rPr>
        <w:t xml:space="preserve"> konsumatorin final, pacientin.</w:t>
      </w:r>
    </w:p>
    <w:p w:rsidR="007038A2" w:rsidRDefault="007038A2" w:rsidP="007765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38A2" w:rsidRPr="00C124B0" w:rsidRDefault="007038A2" w:rsidP="007765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24B0">
        <w:rPr>
          <w:rFonts w:ascii="Times New Roman" w:hAnsi="Times New Roman"/>
          <w:sz w:val="28"/>
          <w:szCs w:val="28"/>
        </w:rPr>
        <w:t xml:space="preserve">Arsyeja e këtij propozimi lidhet me rritjen e çmimeve të shërbimit shëndetësor dhe të barnave nga trajtimi i tyre me TVSH </w:t>
      </w:r>
      <w:r>
        <w:rPr>
          <w:rFonts w:ascii="Times New Roman" w:hAnsi="Times New Roman"/>
          <w:sz w:val="28"/>
          <w:szCs w:val="28"/>
        </w:rPr>
        <w:t xml:space="preserve">në masën </w:t>
      </w:r>
      <w:r w:rsidRPr="00C124B0">
        <w:rPr>
          <w:rFonts w:ascii="Times New Roman" w:hAnsi="Times New Roman"/>
          <w:sz w:val="28"/>
          <w:szCs w:val="28"/>
        </w:rPr>
        <w:t>10% që prej vitit 2010.</w:t>
      </w:r>
    </w:p>
    <w:p w:rsidR="007038A2" w:rsidRDefault="007038A2" w:rsidP="007765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38A2" w:rsidRDefault="007038A2" w:rsidP="007765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24B0">
        <w:rPr>
          <w:rFonts w:ascii="Times New Roman" w:hAnsi="Times New Roman"/>
          <w:sz w:val="28"/>
          <w:szCs w:val="28"/>
        </w:rPr>
        <w:t>Referuar të dhënave të INSTAT-it për indeksin e çmimeve të sektorit shëndetësor, para dhe pas prezantimit të TVSH-së prej 10%, rezulton se kjo reformë ka ndikuar dukshëm në rritjen e çmimit të barnave dhe shërbimeve shëndetësore, duke përbërë kështu një barrë direkte tatimore për pacientin shqiptar.</w:t>
      </w:r>
    </w:p>
    <w:p w:rsidR="007038A2" w:rsidRPr="00C124B0" w:rsidRDefault="007038A2" w:rsidP="007765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703" w:type="dxa"/>
        <w:tblInd w:w="94" w:type="dxa"/>
        <w:tblLook w:val="00A0"/>
      </w:tblPr>
      <w:tblGrid>
        <w:gridCol w:w="4880"/>
        <w:gridCol w:w="960"/>
        <w:gridCol w:w="920"/>
        <w:gridCol w:w="880"/>
        <w:gridCol w:w="960"/>
        <w:gridCol w:w="1103"/>
      </w:tblGrid>
      <w:tr w:rsidR="007038A2" w:rsidRPr="00CC7DE1" w:rsidTr="00C04736">
        <w:trPr>
          <w:trHeight w:val="255"/>
        </w:trPr>
        <w:tc>
          <w:tcPr>
            <w:tcW w:w="970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38A2" w:rsidRPr="00CC7DE1" w:rsidRDefault="007038A2" w:rsidP="00C047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7DE1">
              <w:rPr>
                <w:rFonts w:ascii="Times New Roman" w:hAnsi="Times New Roman"/>
                <w:b/>
                <w:bCs/>
                <w:sz w:val="28"/>
                <w:szCs w:val="28"/>
              </w:rPr>
              <w:t>Indeksi i çmimeve të shërbimeve shëndetësore</w:t>
            </w:r>
          </w:p>
        </w:tc>
      </w:tr>
      <w:tr w:rsidR="007038A2" w:rsidRPr="00CC7DE1" w:rsidTr="00C04736">
        <w:trPr>
          <w:trHeight w:val="255"/>
        </w:trPr>
        <w:tc>
          <w:tcPr>
            <w:tcW w:w="48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</w:tcPr>
          <w:p w:rsidR="007038A2" w:rsidRPr="00CC7DE1" w:rsidRDefault="007038A2" w:rsidP="00C047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C7DE1">
              <w:rPr>
                <w:rFonts w:ascii="Times New Roman" w:hAnsi="Times New Roman"/>
                <w:bCs/>
                <w:sz w:val="28"/>
                <w:szCs w:val="28"/>
              </w:rPr>
              <w:t>Emërtimi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</w:tcPr>
          <w:p w:rsidR="007038A2" w:rsidRPr="00CC7DE1" w:rsidRDefault="007038A2" w:rsidP="00C047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C7DE1"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</w:tcPr>
          <w:p w:rsidR="007038A2" w:rsidRPr="00CC7DE1" w:rsidRDefault="007038A2" w:rsidP="00C047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C7DE1"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</w:tcPr>
          <w:p w:rsidR="007038A2" w:rsidRPr="00CC7DE1" w:rsidRDefault="007038A2" w:rsidP="00C047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C7DE1"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</w:tcPr>
          <w:p w:rsidR="007038A2" w:rsidRPr="00CC7DE1" w:rsidRDefault="007038A2" w:rsidP="00C047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C7DE1"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</w:tcPr>
          <w:p w:rsidR="007038A2" w:rsidRPr="00CC7DE1" w:rsidRDefault="007038A2" w:rsidP="00C047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C7DE1"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</w:p>
        </w:tc>
      </w:tr>
      <w:tr w:rsidR="007038A2" w:rsidRPr="00CC7DE1" w:rsidTr="00C04736">
        <w:trPr>
          <w:trHeight w:val="255"/>
        </w:trPr>
        <w:tc>
          <w:tcPr>
            <w:tcW w:w="4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38A2" w:rsidRPr="00CC7DE1" w:rsidRDefault="007038A2" w:rsidP="00C0473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</w:tcPr>
          <w:p w:rsidR="007038A2" w:rsidRPr="00CC7DE1" w:rsidRDefault="007038A2" w:rsidP="00C04736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 w:rsidRPr="00CC7DE1">
              <w:rPr>
                <w:rFonts w:ascii="Times New Roman" w:hAnsi="Times New Roman"/>
                <w:bCs/>
                <w:sz w:val="28"/>
                <w:szCs w:val="28"/>
              </w:rPr>
              <w:t>2009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</w:tcPr>
          <w:p w:rsidR="007038A2" w:rsidRPr="00CC7DE1" w:rsidRDefault="007038A2" w:rsidP="00C04736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 w:rsidRPr="00CC7DE1">
              <w:rPr>
                <w:rFonts w:ascii="Times New Roman" w:hAnsi="Times New Roman"/>
                <w:bCs/>
                <w:sz w:val="28"/>
                <w:szCs w:val="28"/>
              </w:rPr>
              <w:t>2010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</w:tcPr>
          <w:p w:rsidR="007038A2" w:rsidRPr="00CC7DE1" w:rsidRDefault="007038A2" w:rsidP="00C04736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 w:rsidRPr="00CC7DE1">
              <w:rPr>
                <w:rFonts w:ascii="Times New Roman" w:hAnsi="Times New Roman"/>
                <w:bCs/>
                <w:sz w:val="28"/>
                <w:szCs w:val="28"/>
              </w:rPr>
              <w:t>2011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</w:tcPr>
          <w:p w:rsidR="007038A2" w:rsidRPr="00CC7DE1" w:rsidRDefault="007038A2" w:rsidP="00C04736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 w:rsidRPr="00CC7DE1">
              <w:rPr>
                <w:rFonts w:ascii="Times New Roman" w:hAnsi="Times New Roman"/>
                <w:bCs/>
                <w:sz w:val="28"/>
                <w:szCs w:val="28"/>
              </w:rPr>
              <w:t>2012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</w:tcPr>
          <w:p w:rsidR="007038A2" w:rsidRPr="00CC7DE1" w:rsidRDefault="007038A2" w:rsidP="00C04736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 w:rsidRPr="00CC7DE1">
              <w:rPr>
                <w:rFonts w:ascii="Times New Roman" w:hAnsi="Times New Roman"/>
                <w:bCs/>
                <w:sz w:val="28"/>
                <w:szCs w:val="28"/>
              </w:rPr>
              <w:t>2013</w:t>
            </w:r>
          </w:p>
        </w:tc>
      </w:tr>
      <w:tr w:rsidR="007038A2" w:rsidRPr="00CC7DE1" w:rsidTr="00C04736">
        <w:trPr>
          <w:trHeight w:val="255"/>
        </w:trPr>
        <w:tc>
          <w:tcPr>
            <w:tcW w:w="4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38A2" w:rsidRPr="00CC7DE1" w:rsidRDefault="007038A2" w:rsidP="00C0473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</w:tcPr>
          <w:p w:rsidR="007038A2" w:rsidRPr="00CC7DE1" w:rsidRDefault="007038A2" w:rsidP="00C047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C7DE1"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</w:tcPr>
          <w:p w:rsidR="007038A2" w:rsidRPr="00CC7DE1" w:rsidRDefault="007038A2" w:rsidP="00C047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C7DE1"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</w:tcPr>
          <w:p w:rsidR="007038A2" w:rsidRPr="00CC7DE1" w:rsidRDefault="007038A2" w:rsidP="00C047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C7DE1"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</w:tcPr>
          <w:p w:rsidR="007038A2" w:rsidRPr="00CC7DE1" w:rsidRDefault="007038A2" w:rsidP="00C047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C7DE1"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</w:tcPr>
          <w:p w:rsidR="007038A2" w:rsidRPr="00CC7DE1" w:rsidRDefault="007038A2" w:rsidP="00C047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C7DE1">
              <w:rPr>
                <w:rFonts w:ascii="Times New Roman" w:hAnsi="Times New Roman"/>
                <w:bCs/>
                <w:sz w:val="28"/>
                <w:szCs w:val="28"/>
              </w:rPr>
              <w:t>8mujor</w:t>
            </w:r>
          </w:p>
        </w:tc>
      </w:tr>
      <w:tr w:rsidR="007038A2" w:rsidRPr="00CC7DE1" w:rsidTr="00C04736">
        <w:trPr>
          <w:trHeight w:val="255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38A2" w:rsidRPr="00CC7DE1" w:rsidRDefault="007038A2" w:rsidP="00C047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38A2" w:rsidRPr="00CC7DE1" w:rsidRDefault="007038A2" w:rsidP="00C047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38A2" w:rsidRPr="00CC7DE1" w:rsidRDefault="007038A2" w:rsidP="00C047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38A2" w:rsidRPr="00CC7DE1" w:rsidRDefault="007038A2" w:rsidP="00C047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38A2" w:rsidRPr="00CC7DE1" w:rsidRDefault="007038A2" w:rsidP="00C047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38A2" w:rsidRPr="00CC7DE1" w:rsidRDefault="007038A2" w:rsidP="00C047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38A2" w:rsidRPr="00CC7DE1" w:rsidTr="00C04736">
        <w:trPr>
          <w:trHeight w:val="255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38A2" w:rsidRPr="00CC7DE1" w:rsidRDefault="007038A2" w:rsidP="00C0473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C7DE1">
              <w:rPr>
                <w:rFonts w:ascii="Times New Roman" w:hAnsi="Times New Roman"/>
                <w:bCs/>
                <w:sz w:val="28"/>
                <w:szCs w:val="28"/>
              </w:rPr>
              <w:t>Shëndeti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38A2" w:rsidRPr="00CC7DE1" w:rsidRDefault="007038A2" w:rsidP="00C04736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 w:rsidRPr="00CC7DE1">
              <w:rPr>
                <w:rFonts w:ascii="Times New Roman" w:hAnsi="Times New Roman"/>
                <w:bCs/>
                <w:sz w:val="28"/>
                <w:szCs w:val="28"/>
              </w:rPr>
              <w:t>104.1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38A2" w:rsidRPr="00CC7DE1" w:rsidRDefault="007038A2" w:rsidP="00C04736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 w:rsidRPr="00CC7DE1">
              <w:rPr>
                <w:rFonts w:ascii="Times New Roman" w:hAnsi="Times New Roman"/>
                <w:bCs/>
                <w:sz w:val="28"/>
                <w:szCs w:val="28"/>
              </w:rPr>
              <w:t>111.3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38A2" w:rsidRPr="00CC7DE1" w:rsidRDefault="007038A2" w:rsidP="00C04736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 w:rsidRPr="00CC7DE1">
              <w:rPr>
                <w:rFonts w:ascii="Times New Roman" w:hAnsi="Times New Roman"/>
                <w:bCs/>
                <w:sz w:val="28"/>
                <w:szCs w:val="28"/>
              </w:rPr>
              <w:t>119.9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38A2" w:rsidRPr="00CC7DE1" w:rsidRDefault="007038A2" w:rsidP="00C04736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 w:rsidRPr="00CC7DE1">
              <w:rPr>
                <w:rFonts w:ascii="Times New Roman" w:hAnsi="Times New Roman"/>
                <w:bCs/>
                <w:sz w:val="28"/>
                <w:szCs w:val="28"/>
              </w:rPr>
              <w:t>123.2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38A2" w:rsidRPr="00CC7DE1" w:rsidRDefault="007038A2" w:rsidP="00C04736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 w:rsidRPr="00CC7DE1">
              <w:rPr>
                <w:rFonts w:ascii="Times New Roman" w:hAnsi="Times New Roman"/>
                <w:bCs/>
                <w:sz w:val="28"/>
                <w:szCs w:val="28"/>
              </w:rPr>
              <w:t>123.2</w:t>
            </w:r>
          </w:p>
        </w:tc>
      </w:tr>
      <w:tr w:rsidR="007038A2" w:rsidRPr="00CC7DE1" w:rsidTr="00C04736">
        <w:trPr>
          <w:trHeight w:val="255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38A2" w:rsidRPr="00CC7DE1" w:rsidRDefault="007038A2" w:rsidP="00C047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7DE1">
              <w:rPr>
                <w:rFonts w:ascii="Times New Roman" w:hAnsi="Times New Roman"/>
                <w:sz w:val="28"/>
                <w:szCs w:val="28"/>
              </w:rPr>
              <w:t>Medikamentet dhe produkte të tjera farmaceutike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38A2" w:rsidRPr="00CC7DE1" w:rsidRDefault="007038A2" w:rsidP="00C0473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C7DE1">
              <w:rPr>
                <w:rFonts w:ascii="Times New Roman" w:hAnsi="Times New Roman"/>
                <w:sz w:val="28"/>
                <w:szCs w:val="28"/>
              </w:rPr>
              <w:t>101.9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38A2" w:rsidRPr="00CC7DE1" w:rsidRDefault="007038A2" w:rsidP="00C0473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C7DE1">
              <w:rPr>
                <w:rFonts w:ascii="Times New Roman" w:hAnsi="Times New Roman"/>
                <w:sz w:val="28"/>
                <w:szCs w:val="28"/>
              </w:rPr>
              <w:t>106.5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38A2" w:rsidRPr="00CC7DE1" w:rsidRDefault="007038A2" w:rsidP="00C0473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C7DE1">
              <w:rPr>
                <w:rFonts w:ascii="Times New Roman" w:hAnsi="Times New Roman"/>
                <w:sz w:val="28"/>
                <w:szCs w:val="28"/>
              </w:rPr>
              <w:t>112.9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38A2" w:rsidRPr="00CC7DE1" w:rsidRDefault="007038A2" w:rsidP="00C0473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C7DE1">
              <w:rPr>
                <w:rFonts w:ascii="Times New Roman" w:hAnsi="Times New Roman"/>
                <w:sz w:val="28"/>
                <w:szCs w:val="28"/>
              </w:rPr>
              <w:t>116.5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38A2" w:rsidRPr="00CC7DE1" w:rsidRDefault="007038A2" w:rsidP="00C0473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C7DE1">
              <w:rPr>
                <w:rFonts w:ascii="Times New Roman" w:hAnsi="Times New Roman"/>
                <w:sz w:val="28"/>
                <w:szCs w:val="28"/>
              </w:rPr>
              <w:t>116.1</w:t>
            </w:r>
          </w:p>
        </w:tc>
      </w:tr>
      <w:tr w:rsidR="007038A2" w:rsidRPr="00CC7DE1" w:rsidTr="00C04736">
        <w:trPr>
          <w:trHeight w:val="255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38A2" w:rsidRPr="00CC7DE1" w:rsidRDefault="007038A2" w:rsidP="00C047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7DE1">
              <w:rPr>
                <w:rFonts w:ascii="Times New Roman" w:hAnsi="Times New Roman"/>
                <w:sz w:val="28"/>
                <w:szCs w:val="28"/>
              </w:rPr>
              <w:t>Shërbime mjekësore, paramjekësore dhe dentare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38A2" w:rsidRPr="00CC7DE1" w:rsidRDefault="007038A2" w:rsidP="00C0473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C7DE1">
              <w:rPr>
                <w:rFonts w:ascii="Times New Roman" w:hAnsi="Times New Roman"/>
                <w:sz w:val="28"/>
                <w:szCs w:val="28"/>
              </w:rPr>
              <w:t>121.1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38A2" w:rsidRPr="00CC7DE1" w:rsidRDefault="007038A2" w:rsidP="00C0473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C7DE1">
              <w:rPr>
                <w:rFonts w:ascii="Times New Roman" w:hAnsi="Times New Roman"/>
                <w:sz w:val="28"/>
                <w:szCs w:val="28"/>
              </w:rPr>
              <w:t>142.9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38A2" w:rsidRPr="00CC7DE1" w:rsidRDefault="007038A2" w:rsidP="00C0473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C7DE1">
              <w:rPr>
                <w:rFonts w:ascii="Times New Roman" w:hAnsi="Times New Roman"/>
                <w:sz w:val="28"/>
                <w:szCs w:val="28"/>
              </w:rPr>
              <w:t>165.7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38A2" w:rsidRPr="00CC7DE1" w:rsidRDefault="007038A2" w:rsidP="00C0473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C7DE1">
              <w:rPr>
                <w:rFonts w:ascii="Times New Roman" w:hAnsi="Times New Roman"/>
                <w:sz w:val="28"/>
                <w:szCs w:val="28"/>
              </w:rPr>
              <w:t>168.3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38A2" w:rsidRPr="00CC7DE1" w:rsidRDefault="007038A2" w:rsidP="00C0473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C7DE1">
              <w:rPr>
                <w:rFonts w:ascii="Times New Roman" w:hAnsi="Times New Roman"/>
                <w:sz w:val="28"/>
                <w:szCs w:val="28"/>
              </w:rPr>
              <w:t>170.4</w:t>
            </w:r>
          </w:p>
        </w:tc>
      </w:tr>
      <w:tr w:rsidR="007038A2" w:rsidRPr="00CC7DE1" w:rsidTr="00C04736">
        <w:trPr>
          <w:trHeight w:val="255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38A2" w:rsidRPr="00CC7DE1" w:rsidRDefault="007038A2" w:rsidP="00C047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7DE1">
              <w:rPr>
                <w:rFonts w:ascii="Times New Roman" w:hAnsi="Times New Roman"/>
                <w:sz w:val="28"/>
                <w:szCs w:val="28"/>
              </w:rPr>
              <w:t>Shërbime spitalore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38A2" w:rsidRPr="00CC7DE1" w:rsidRDefault="007038A2" w:rsidP="00C0473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C7DE1">
              <w:rPr>
                <w:rFonts w:ascii="Times New Roman" w:hAnsi="Times New Roman"/>
                <w:sz w:val="28"/>
                <w:szCs w:val="28"/>
              </w:rPr>
              <w:t>102.8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38A2" w:rsidRPr="00CC7DE1" w:rsidRDefault="007038A2" w:rsidP="00C0473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C7DE1">
              <w:rPr>
                <w:rFonts w:ascii="Times New Roman" w:hAnsi="Times New Roman"/>
                <w:sz w:val="28"/>
                <w:szCs w:val="28"/>
              </w:rPr>
              <w:t>111.7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38A2" w:rsidRPr="00CC7DE1" w:rsidRDefault="007038A2" w:rsidP="00C0473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C7DE1">
              <w:rPr>
                <w:rFonts w:ascii="Times New Roman" w:hAnsi="Times New Roman"/>
                <w:sz w:val="28"/>
                <w:szCs w:val="28"/>
              </w:rPr>
              <w:t>120.9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38A2" w:rsidRPr="00CC7DE1" w:rsidRDefault="007038A2" w:rsidP="00C0473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C7DE1">
              <w:rPr>
                <w:rFonts w:ascii="Times New Roman" w:hAnsi="Times New Roman"/>
                <w:sz w:val="28"/>
                <w:szCs w:val="28"/>
              </w:rPr>
              <w:t>123.8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038A2" w:rsidRPr="00CC7DE1" w:rsidRDefault="007038A2" w:rsidP="00C0473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C7DE1">
              <w:rPr>
                <w:rFonts w:ascii="Times New Roman" w:hAnsi="Times New Roman"/>
                <w:sz w:val="28"/>
                <w:szCs w:val="28"/>
              </w:rPr>
              <w:t>123.8</w:t>
            </w:r>
          </w:p>
        </w:tc>
      </w:tr>
    </w:tbl>
    <w:p w:rsidR="007038A2" w:rsidRPr="005D2A04" w:rsidRDefault="007038A2" w:rsidP="007765C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038A2" w:rsidRDefault="007038A2" w:rsidP="007765C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38A2" w:rsidRPr="00C124B0" w:rsidRDefault="007038A2" w:rsidP="007765CB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Burimi: INSTAT</w:t>
      </w:r>
    </w:p>
    <w:p w:rsidR="007038A2" w:rsidRPr="00C124B0" w:rsidRDefault="007038A2" w:rsidP="007765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24B0">
        <w:rPr>
          <w:rFonts w:ascii="Times New Roman" w:hAnsi="Times New Roman"/>
          <w:sz w:val="28"/>
          <w:szCs w:val="28"/>
        </w:rPr>
        <w:t xml:space="preserve">Sikurse vërehet nga të dhënat e INSTAT-it për indeksin e çmimeve të barnave dhe të shërbimeve shëndetësore </w:t>
      </w:r>
      <w:r>
        <w:rPr>
          <w:rFonts w:ascii="Times New Roman" w:hAnsi="Times New Roman"/>
          <w:sz w:val="28"/>
          <w:szCs w:val="28"/>
        </w:rPr>
        <w:t>të paraqitura në tabelë,</w:t>
      </w:r>
      <w:r w:rsidRPr="00C124B0">
        <w:rPr>
          <w:rFonts w:ascii="Times New Roman" w:hAnsi="Times New Roman"/>
          <w:sz w:val="28"/>
          <w:szCs w:val="28"/>
        </w:rPr>
        <w:t xml:space="preserve"> vlera e tij është rritur dukshëm pas vitit 2009, kur ka filluar aplikimi i TVSH në masën 10%.</w:t>
      </w:r>
    </w:p>
    <w:p w:rsidR="007038A2" w:rsidRDefault="007038A2" w:rsidP="007765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38A2" w:rsidRPr="00C124B0" w:rsidRDefault="007038A2" w:rsidP="007765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24B0">
        <w:rPr>
          <w:rFonts w:ascii="Times New Roman" w:hAnsi="Times New Roman"/>
          <w:sz w:val="28"/>
          <w:szCs w:val="28"/>
        </w:rPr>
        <w:t>Kjo masë propozohet të fillojë aplikimin në 1prill 2014, për arsye se gjatë t</w:t>
      </w:r>
      <w:r>
        <w:rPr>
          <w:rFonts w:ascii="Times New Roman" w:hAnsi="Times New Roman"/>
          <w:sz w:val="28"/>
          <w:szCs w:val="28"/>
        </w:rPr>
        <w:t>remujorit të parë të vitit 2014</w:t>
      </w:r>
      <w:r w:rsidRPr="00C124B0">
        <w:rPr>
          <w:rFonts w:ascii="Times New Roman" w:hAnsi="Times New Roman"/>
          <w:sz w:val="28"/>
          <w:szCs w:val="28"/>
        </w:rPr>
        <w:t xml:space="preserve"> Ministria e Shëndetësisë do të zhvillojë reformën e mirëmenaxhimit të skemës së barnave të rimbursueshme në Shqipëri. </w:t>
      </w:r>
    </w:p>
    <w:p w:rsidR="007038A2" w:rsidRDefault="007038A2" w:rsidP="007765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38A2" w:rsidRDefault="007038A2" w:rsidP="007765C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pt-PT"/>
        </w:rPr>
      </w:pPr>
      <w:r w:rsidRPr="00C124B0">
        <w:rPr>
          <w:rFonts w:ascii="Times New Roman" w:hAnsi="Times New Roman"/>
          <w:sz w:val="28"/>
          <w:szCs w:val="28"/>
        </w:rPr>
        <w:t xml:space="preserve">Përjashtimi i shërbimeve shëndetësore është në përputhje me direktivën e KE-së, </w:t>
      </w:r>
      <w:r w:rsidRPr="005D2A04">
        <w:rPr>
          <w:rFonts w:ascii="Times New Roman" w:hAnsi="Times New Roman"/>
          <w:b/>
          <w:sz w:val="28"/>
          <w:szCs w:val="28"/>
        </w:rPr>
        <w:t>s</w:t>
      </w:r>
      <w:r w:rsidRPr="005D2A04">
        <w:rPr>
          <w:rStyle w:val="Strong"/>
          <w:rFonts w:ascii="Times New Roman" w:hAnsi="Times New Roman"/>
          <w:b w:val="0"/>
          <w:sz w:val="28"/>
          <w:szCs w:val="28"/>
        </w:rPr>
        <w:t>ipas direktivës 2006 / 112 / CE të Këshillit, datë 28 nëntor 2006, mbi sistemin e përbashkët të tatimit mbi vlerën e shtuar</w:t>
      </w:r>
      <w:r w:rsidRPr="005D2A04">
        <w:rPr>
          <w:rFonts w:ascii="Times New Roman" w:hAnsi="Times New Roman"/>
          <w:b/>
          <w:sz w:val="28"/>
          <w:szCs w:val="28"/>
        </w:rPr>
        <w:t>,</w:t>
      </w:r>
      <w:r w:rsidRPr="00C124B0">
        <w:rPr>
          <w:rFonts w:ascii="Times New Roman" w:hAnsi="Times New Roman"/>
          <w:sz w:val="28"/>
          <w:szCs w:val="28"/>
        </w:rPr>
        <w:t xml:space="preserve"> neni 132 DE 2006/112 CE</w:t>
      </w:r>
      <w:r>
        <w:rPr>
          <w:rFonts w:ascii="Times New Roman" w:hAnsi="Times New Roman"/>
          <w:sz w:val="28"/>
          <w:szCs w:val="28"/>
        </w:rPr>
        <w:t>,</w:t>
      </w:r>
      <w:r w:rsidRPr="00C124B0">
        <w:rPr>
          <w:rFonts w:ascii="Times New Roman" w:hAnsi="Times New Roman"/>
          <w:sz w:val="28"/>
          <w:szCs w:val="28"/>
        </w:rPr>
        <w:t xml:space="preserve"> “Përjashtimi i disa veprimtarive me interes publik. Ndërsa</w:t>
      </w:r>
      <w:r w:rsidRPr="00C124B0">
        <w:rPr>
          <w:rFonts w:ascii="Times New Roman" w:hAnsi="Times New Roman"/>
          <w:b/>
          <w:sz w:val="28"/>
          <w:szCs w:val="28"/>
        </w:rPr>
        <w:t xml:space="preserve"> </w:t>
      </w:r>
      <w:r w:rsidRPr="00C124B0">
        <w:rPr>
          <w:rFonts w:ascii="Times New Roman" w:hAnsi="Times New Roman"/>
          <w:sz w:val="28"/>
          <w:szCs w:val="28"/>
        </w:rPr>
        <w:t>për barnat,</w:t>
      </w:r>
      <w:r w:rsidRPr="00C124B0">
        <w:rPr>
          <w:rFonts w:ascii="Times New Roman" w:hAnsi="Times New Roman"/>
          <w:sz w:val="28"/>
          <w:szCs w:val="28"/>
          <w:lang w:val="pt-PT"/>
        </w:rPr>
        <w:t xml:space="preserve"> vendeve anëtare u jepet e drejta e aplikimit të normës së reduktuar, përveç asaj  normale. </w:t>
      </w:r>
    </w:p>
    <w:p w:rsidR="007038A2" w:rsidRDefault="007038A2" w:rsidP="007765C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pt-PT"/>
        </w:rPr>
      </w:pPr>
    </w:p>
    <w:p w:rsidR="007038A2" w:rsidRPr="00C124B0" w:rsidRDefault="007038A2" w:rsidP="007765C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124B0">
        <w:rPr>
          <w:rFonts w:ascii="Times New Roman" w:hAnsi="Times New Roman"/>
          <w:sz w:val="28"/>
          <w:szCs w:val="28"/>
        </w:rPr>
        <w:t>Në zbatim të kësaj direktive, pothuajse të gjitha vendet anëtare të BE-së aplikojnë norma të  reduktuara TVSH-je për barnat.</w:t>
      </w:r>
      <w:r w:rsidRPr="00C124B0">
        <w:rPr>
          <w:rFonts w:ascii="Times New Roman" w:hAnsi="Times New Roman"/>
          <w:bCs/>
          <w:sz w:val="28"/>
          <w:szCs w:val="28"/>
        </w:rPr>
        <w:t xml:space="preserve"> Më poshtë është dhe tabela e përputhshmërisë për barnat.</w:t>
      </w:r>
    </w:p>
    <w:p w:rsidR="007038A2" w:rsidRPr="00C124B0" w:rsidRDefault="007038A2" w:rsidP="007765C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38A2" w:rsidRPr="00C124B0" w:rsidRDefault="007038A2" w:rsidP="007765C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124B0">
        <w:rPr>
          <w:rFonts w:ascii="Times New Roman" w:hAnsi="Times New Roman"/>
          <w:b/>
          <w:sz w:val="28"/>
          <w:szCs w:val="28"/>
        </w:rPr>
        <w:t xml:space="preserve">Tabela e </w:t>
      </w:r>
      <w:r>
        <w:rPr>
          <w:rFonts w:ascii="Times New Roman" w:hAnsi="Times New Roman"/>
          <w:b/>
          <w:sz w:val="28"/>
          <w:szCs w:val="28"/>
        </w:rPr>
        <w:t>p</w:t>
      </w:r>
      <w:r w:rsidRPr="00C124B0">
        <w:rPr>
          <w:rFonts w:ascii="Times New Roman" w:hAnsi="Times New Roman"/>
          <w:b/>
          <w:sz w:val="28"/>
          <w:szCs w:val="28"/>
        </w:rPr>
        <w:t xml:space="preserve">ërputhshmërisë </w:t>
      </w:r>
    </w:p>
    <w:p w:rsidR="007038A2" w:rsidRPr="00C124B0" w:rsidRDefault="007038A2" w:rsidP="007765CB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C124B0">
        <w:rPr>
          <w:rFonts w:ascii="Times New Roman" w:hAnsi="Times New Roman"/>
          <w:i/>
          <w:sz w:val="28"/>
          <w:szCs w:val="28"/>
        </w:rPr>
        <w:t>Për shërbimet shëndetësore</w:t>
      </w:r>
    </w:p>
    <w:p w:rsidR="007038A2" w:rsidRPr="00C124B0" w:rsidRDefault="007038A2" w:rsidP="007765CB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61"/>
        <w:gridCol w:w="1861"/>
        <w:gridCol w:w="2256"/>
        <w:gridCol w:w="1703"/>
        <w:gridCol w:w="1625"/>
      </w:tblGrid>
      <w:tr w:rsidR="007038A2" w:rsidRPr="00CC7DE1" w:rsidTr="00C04736">
        <w:tc>
          <w:tcPr>
            <w:tcW w:w="5000" w:type="pct"/>
            <w:gridSpan w:val="5"/>
          </w:tcPr>
          <w:p w:rsidR="007038A2" w:rsidRPr="00C124B0" w:rsidRDefault="007038A2" w:rsidP="00C04736">
            <w:pPr>
              <w:pStyle w:val="BodyText"/>
              <w:rPr>
                <w:sz w:val="28"/>
                <w:szCs w:val="28"/>
              </w:rPr>
            </w:pPr>
            <w:r w:rsidRPr="00C124B0">
              <w:rPr>
                <w:sz w:val="28"/>
                <w:szCs w:val="28"/>
              </w:rPr>
              <w:t xml:space="preserve">1. Direktiva e KE, </w:t>
            </w:r>
            <w:r w:rsidRPr="005D2A04">
              <w:rPr>
                <w:rStyle w:val="Strong"/>
                <w:b w:val="0"/>
                <w:sz w:val="28"/>
                <w:szCs w:val="28"/>
              </w:rPr>
              <w:t>Direktiva 2006 / 112 / CE e Këshillit, datë 28 nëntor 2006</w:t>
            </w:r>
          </w:p>
        </w:tc>
      </w:tr>
      <w:tr w:rsidR="007038A2" w:rsidRPr="00CC7DE1" w:rsidTr="00C04736">
        <w:tc>
          <w:tcPr>
            <w:tcW w:w="5000" w:type="pct"/>
            <w:gridSpan w:val="5"/>
          </w:tcPr>
          <w:p w:rsidR="007038A2" w:rsidRPr="00C124B0" w:rsidRDefault="007038A2" w:rsidP="00C04736">
            <w:pPr>
              <w:pStyle w:val="BodyText"/>
              <w:rPr>
                <w:sz w:val="28"/>
                <w:szCs w:val="28"/>
              </w:rPr>
            </w:pPr>
            <w:r w:rsidRPr="00C124B0">
              <w:rPr>
                <w:sz w:val="28"/>
                <w:szCs w:val="28"/>
              </w:rPr>
              <w:t xml:space="preserve">2. Titulli i projektaktit (aktit): </w:t>
            </w:r>
            <w:r>
              <w:rPr>
                <w:sz w:val="28"/>
                <w:szCs w:val="28"/>
              </w:rPr>
              <w:t>ligji nr.7928, datë 27.4.1995, “P</w:t>
            </w:r>
            <w:r w:rsidRPr="00C124B0">
              <w:rPr>
                <w:sz w:val="28"/>
                <w:szCs w:val="28"/>
              </w:rPr>
              <w:t>ër tatimin mbi vlerën e shtuar”, i ndryshuar”</w:t>
            </w:r>
          </w:p>
        </w:tc>
      </w:tr>
      <w:tr w:rsidR="007038A2" w:rsidRPr="00CC7DE1" w:rsidTr="00C04736">
        <w:tc>
          <w:tcPr>
            <w:tcW w:w="5000" w:type="pct"/>
            <w:gridSpan w:val="5"/>
          </w:tcPr>
          <w:p w:rsidR="007038A2" w:rsidRPr="00C124B0" w:rsidRDefault="007038A2" w:rsidP="00C04736">
            <w:pPr>
              <w:pStyle w:val="BodyText"/>
              <w:rPr>
                <w:sz w:val="28"/>
                <w:szCs w:val="28"/>
              </w:rPr>
            </w:pPr>
            <w:r w:rsidRPr="00C124B0">
              <w:rPr>
                <w:sz w:val="28"/>
                <w:szCs w:val="28"/>
              </w:rPr>
              <w:t xml:space="preserve">3. Shkalla e </w:t>
            </w:r>
            <w:r>
              <w:rPr>
                <w:sz w:val="28"/>
                <w:szCs w:val="28"/>
              </w:rPr>
              <w:t>p</w:t>
            </w:r>
            <w:r w:rsidRPr="00C124B0">
              <w:rPr>
                <w:sz w:val="28"/>
                <w:szCs w:val="28"/>
              </w:rPr>
              <w:t xml:space="preserve">ërafrimit: </w:t>
            </w:r>
            <w:r w:rsidRPr="005D2A04">
              <w:rPr>
                <w:sz w:val="28"/>
                <w:szCs w:val="28"/>
              </w:rPr>
              <w:t>e</w:t>
            </w:r>
            <w:r w:rsidRPr="00C124B0">
              <w:rPr>
                <w:i/>
                <w:sz w:val="28"/>
                <w:szCs w:val="28"/>
              </w:rPr>
              <w:t xml:space="preserve"> </w:t>
            </w:r>
            <w:r w:rsidRPr="005D2A04">
              <w:rPr>
                <w:sz w:val="28"/>
                <w:szCs w:val="28"/>
              </w:rPr>
              <w:t>pjesshme</w:t>
            </w:r>
          </w:p>
        </w:tc>
      </w:tr>
      <w:tr w:rsidR="007038A2" w:rsidRPr="00CC7DE1" w:rsidTr="00C04736">
        <w:tc>
          <w:tcPr>
            <w:tcW w:w="1000" w:type="pct"/>
          </w:tcPr>
          <w:p w:rsidR="007038A2" w:rsidRPr="00C124B0" w:rsidRDefault="007038A2" w:rsidP="00C04736">
            <w:pPr>
              <w:pStyle w:val="BodyText"/>
              <w:rPr>
                <w:sz w:val="28"/>
                <w:szCs w:val="28"/>
              </w:rPr>
            </w:pPr>
            <w:r w:rsidRPr="00C124B0">
              <w:rPr>
                <w:sz w:val="28"/>
                <w:szCs w:val="28"/>
              </w:rPr>
              <w:t>a)</w:t>
            </w:r>
          </w:p>
        </w:tc>
        <w:tc>
          <w:tcPr>
            <w:tcW w:w="1000" w:type="pct"/>
          </w:tcPr>
          <w:p w:rsidR="007038A2" w:rsidRPr="00C124B0" w:rsidRDefault="007038A2" w:rsidP="00C04736">
            <w:pPr>
              <w:pStyle w:val="BodyText"/>
              <w:rPr>
                <w:sz w:val="28"/>
                <w:szCs w:val="28"/>
              </w:rPr>
            </w:pPr>
            <w:r w:rsidRPr="00C124B0">
              <w:rPr>
                <w:sz w:val="28"/>
                <w:szCs w:val="28"/>
              </w:rPr>
              <w:t>b)</w:t>
            </w:r>
          </w:p>
        </w:tc>
        <w:tc>
          <w:tcPr>
            <w:tcW w:w="1212" w:type="pct"/>
          </w:tcPr>
          <w:p w:rsidR="007038A2" w:rsidRPr="00C124B0" w:rsidRDefault="007038A2" w:rsidP="00C04736">
            <w:pPr>
              <w:pStyle w:val="BodyText"/>
              <w:rPr>
                <w:sz w:val="28"/>
                <w:szCs w:val="28"/>
              </w:rPr>
            </w:pPr>
            <w:r w:rsidRPr="00C124B0">
              <w:rPr>
                <w:sz w:val="28"/>
                <w:szCs w:val="28"/>
              </w:rPr>
              <w:t>c)</w:t>
            </w:r>
          </w:p>
        </w:tc>
        <w:tc>
          <w:tcPr>
            <w:tcW w:w="915" w:type="pct"/>
          </w:tcPr>
          <w:p w:rsidR="007038A2" w:rsidRPr="00C124B0" w:rsidRDefault="007038A2" w:rsidP="00C04736">
            <w:pPr>
              <w:pStyle w:val="BodyText"/>
              <w:rPr>
                <w:sz w:val="28"/>
                <w:szCs w:val="28"/>
              </w:rPr>
            </w:pPr>
            <w:r w:rsidRPr="00C124B0">
              <w:rPr>
                <w:sz w:val="28"/>
                <w:szCs w:val="28"/>
              </w:rPr>
              <w:t>d)</w:t>
            </w:r>
          </w:p>
        </w:tc>
        <w:tc>
          <w:tcPr>
            <w:tcW w:w="873" w:type="pct"/>
          </w:tcPr>
          <w:p w:rsidR="007038A2" w:rsidRPr="00C124B0" w:rsidRDefault="007038A2" w:rsidP="00C04736">
            <w:pPr>
              <w:pStyle w:val="BodyText"/>
              <w:rPr>
                <w:sz w:val="28"/>
                <w:szCs w:val="28"/>
              </w:rPr>
            </w:pPr>
            <w:r w:rsidRPr="00C124B0">
              <w:rPr>
                <w:sz w:val="28"/>
                <w:szCs w:val="28"/>
              </w:rPr>
              <w:t>e)</w:t>
            </w:r>
          </w:p>
        </w:tc>
      </w:tr>
      <w:tr w:rsidR="007038A2" w:rsidRPr="00CC7DE1" w:rsidTr="00C04736">
        <w:tc>
          <w:tcPr>
            <w:tcW w:w="1000" w:type="pct"/>
          </w:tcPr>
          <w:p w:rsidR="007038A2" w:rsidRPr="00CC7DE1" w:rsidRDefault="007038A2" w:rsidP="00C0473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CC7DE1">
              <w:rPr>
                <w:rFonts w:ascii="Times New Roman" w:hAnsi="Times New Roman"/>
                <w:b/>
                <w:sz w:val="26"/>
                <w:szCs w:val="26"/>
              </w:rPr>
              <w:t>Neni 132 DE 2006/112 CE, “Përjashtimi i disa veprimtarive me interes publik”</w:t>
            </w:r>
          </w:p>
          <w:p w:rsidR="007038A2" w:rsidRPr="00CC7DE1" w:rsidRDefault="007038A2" w:rsidP="00C0473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7038A2" w:rsidRPr="00CC7DE1" w:rsidRDefault="007038A2" w:rsidP="00C0473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C7DE1">
              <w:rPr>
                <w:rFonts w:ascii="Times New Roman" w:hAnsi="Times New Roman"/>
                <w:sz w:val="26"/>
                <w:szCs w:val="26"/>
              </w:rPr>
              <w:t>b)  Shërbimet spitalore dhe kujdesi mjekësor, si dhe veprimet e lidhura ngushtësisht me to, që sigurohen nga institucione të së drejtës publike ose në kushte sociale të njëjta me ato që ekzistojnë në fuqi për institucionet e mësipërme, nga institute spitalore, qendra mjekësore dhe diagnostikuese dhe nga institute të tjera të së njëjtës natyrë të njohura posaçërisht;</w:t>
            </w:r>
          </w:p>
          <w:p w:rsidR="007038A2" w:rsidRPr="00CC7DE1" w:rsidRDefault="007038A2" w:rsidP="00C0473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038A2" w:rsidRPr="00CC7DE1" w:rsidRDefault="007038A2" w:rsidP="00C0473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038A2" w:rsidRPr="00CC7DE1" w:rsidRDefault="007038A2" w:rsidP="00C0473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038A2" w:rsidRPr="00CC7DE1" w:rsidRDefault="007038A2" w:rsidP="00C0473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038A2" w:rsidRPr="00CC7DE1" w:rsidRDefault="007038A2" w:rsidP="00C0473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038A2" w:rsidRPr="00CC7DE1" w:rsidRDefault="007038A2" w:rsidP="00C0473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00" w:type="pct"/>
          </w:tcPr>
          <w:p w:rsidR="007038A2" w:rsidRPr="00CC7DE1" w:rsidRDefault="007038A2" w:rsidP="00C0473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C7DE1">
              <w:rPr>
                <w:rFonts w:ascii="Times New Roman" w:hAnsi="Times New Roman"/>
                <w:sz w:val="26"/>
                <w:szCs w:val="26"/>
              </w:rPr>
              <w:t>Neni 25/11</w:t>
            </w:r>
          </w:p>
          <w:p w:rsidR="007038A2" w:rsidRPr="00CC7DE1" w:rsidRDefault="007038A2" w:rsidP="00C0473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C7DE1">
              <w:rPr>
                <w:rFonts w:ascii="Times New Roman" w:hAnsi="Times New Roman"/>
                <w:sz w:val="26"/>
                <w:szCs w:val="26"/>
              </w:rPr>
              <w:t>Barnat dhe shërbimi shëndetësor</w:t>
            </w:r>
          </w:p>
          <w:p w:rsidR="007038A2" w:rsidRPr="00CC7DE1" w:rsidRDefault="007038A2" w:rsidP="00C0473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038A2" w:rsidRPr="00CC7DE1" w:rsidRDefault="007038A2" w:rsidP="00C0473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C7DE1">
              <w:rPr>
                <w:rFonts w:ascii="Times New Roman" w:hAnsi="Times New Roman"/>
                <w:sz w:val="26"/>
                <w:szCs w:val="26"/>
              </w:rPr>
              <w:t xml:space="preserve">Nga data 1 prill 2014, furnizimi i barnave dhe i shërbimeve shëndetësore nga institucionet shëndetësore, publike dhe private, është furnizim i përjashtuar. </w:t>
            </w:r>
          </w:p>
          <w:p w:rsidR="007038A2" w:rsidRPr="00CC7DE1" w:rsidRDefault="007038A2" w:rsidP="00C04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12" w:type="pct"/>
          </w:tcPr>
          <w:p w:rsidR="007038A2" w:rsidRPr="00974778" w:rsidRDefault="007038A2" w:rsidP="00C04736">
            <w:pPr>
              <w:pStyle w:val="BodyText"/>
              <w:rPr>
                <w:sz w:val="26"/>
                <w:szCs w:val="26"/>
              </w:rPr>
            </w:pPr>
            <w:r w:rsidRPr="00974778">
              <w:rPr>
                <w:sz w:val="26"/>
                <w:szCs w:val="26"/>
              </w:rPr>
              <w:t xml:space="preserve">i pjesshëm </w:t>
            </w:r>
          </w:p>
        </w:tc>
        <w:tc>
          <w:tcPr>
            <w:tcW w:w="915" w:type="pct"/>
          </w:tcPr>
          <w:p w:rsidR="007038A2" w:rsidRPr="00CC7DE1" w:rsidRDefault="007038A2" w:rsidP="00C0473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C7DE1">
              <w:rPr>
                <w:rFonts w:ascii="Times New Roman" w:hAnsi="Times New Roman"/>
                <w:sz w:val="26"/>
                <w:szCs w:val="26"/>
              </w:rPr>
              <w:t>Synimi i këtij projektligji është  propozimi i një politike të re fiskale  në fushën e TVSH-së për sistemin shëndetësor dhe konkretisht përjashtimin nga TVSH-ja për barnat dhe shërbimet shëndetësore, nga shkalla e reduktuar që aplikohet sot në masën 10%.</w:t>
            </w:r>
          </w:p>
          <w:p w:rsidR="007038A2" w:rsidRPr="00CC7DE1" w:rsidRDefault="007038A2" w:rsidP="00C0473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038A2" w:rsidRPr="00CC7DE1" w:rsidRDefault="007038A2" w:rsidP="00C04736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CC7DE1">
              <w:rPr>
                <w:rFonts w:ascii="Times New Roman" w:hAnsi="Times New Roman"/>
                <w:sz w:val="26"/>
                <w:szCs w:val="26"/>
              </w:rPr>
              <w:t xml:space="preserve">Në vijim të politikave në mbështetje të sektorit te shëndetësisë, propozohet ky projektligj për reduktimin e barrës fiskale të pacientëve në shërbimin shëndetësor. </w:t>
            </w:r>
            <w:r w:rsidRPr="00CC7DE1">
              <w:rPr>
                <w:rFonts w:ascii="Times New Roman" w:hAnsi="Times New Roman"/>
                <w:bCs/>
                <w:sz w:val="26"/>
                <w:szCs w:val="26"/>
              </w:rPr>
              <w:t xml:space="preserve">Arsyet pse propozohet aplikimi i një TVSH-je të reduktuar dhe pse pikërisht në sektorin e  shëndetësisë është ngushtësisht i lidhur me reformat e fundit të qeverisjes në drejtim të sektorit të shëndetësisë në Shqipëri. </w:t>
            </w:r>
          </w:p>
        </w:tc>
        <w:tc>
          <w:tcPr>
            <w:tcW w:w="873" w:type="pct"/>
          </w:tcPr>
          <w:p w:rsidR="007038A2" w:rsidRPr="00974778" w:rsidRDefault="007038A2" w:rsidP="00C04736">
            <w:pPr>
              <w:pStyle w:val="BodyText"/>
              <w:rPr>
                <w:sz w:val="26"/>
                <w:szCs w:val="26"/>
              </w:rPr>
            </w:pPr>
            <w:r w:rsidRPr="00974778">
              <w:rPr>
                <w:sz w:val="26"/>
                <w:szCs w:val="26"/>
              </w:rPr>
              <w:t>2014</w:t>
            </w:r>
          </w:p>
        </w:tc>
      </w:tr>
    </w:tbl>
    <w:p w:rsidR="007038A2" w:rsidRPr="00C124B0" w:rsidRDefault="007038A2" w:rsidP="007765C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38A2" w:rsidRPr="00C124B0" w:rsidRDefault="007038A2" w:rsidP="007765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24B0">
        <w:rPr>
          <w:rFonts w:ascii="Times New Roman" w:hAnsi="Times New Roman"/>
          <w:sz w:val="28"/>
          <w:szCs w:val="28"/>
        </w:rPr>
        <w:t xml:space="preserve">Efekti financiar negativ në të ardhurat e vitit 2014 nga përjashtimi nga TVSH-ja për barnat, vlerësohet të jetë  minus 100 milionë lekë, efekt ky i cili balancohet me uljen e shpenzimeve buxhetore po për vitin 2014 për ISKSH-në. </w:t>
      </w:r>
    </w:p>
    <w:p w:rsidR="007038A2" w:rsidRPr="00C124B0" w:rsidRDefault="007038A2" w:rsidP="007765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24B0">
        <w:rPr>
          <w:rFonts w:ascii="Times New Roman" w:hAnsi="Times New Roman"/>
          <w:sz w:val="28"/>
          <w:szCs w:val="28"/>
        </w:rPr>
        <w:t>Në nen</w:t>
      </w:r>
      <w:r>
        <w:rPr>
          <w:rFonts w:ascii="Times New Roman" w:hAnsi="Times New Roman"/>
          <w:sz w:val="28"/>
          <w:szCs w:val="28"/>
        </w:rPr>
        <w:t>et</w:t>
      </w:r>
      <w:r w:rsidRPr="00C124B0">
        <w:rPr>
          <w:rFonts w:ascii="Times New Roman" w:hAnsi="Times New Roman"/>
          <w:sz w:val="28"/>
          <w:szCs w:val="28"/>
        </w:rPr>
        <w:t xml:space="preserve"> 3 dhe 4</w:t>
      </w:r>
      <w:r>
        <w:rPr>
          <w:rFonts w:ascii="Times New Roman" w:hAnsi="Times New Roman"/>
          <w:sz w:val="28"/>
          <w:szCs w:val="28"/>
        </w:rPr>
        <w:t>,</w:t>
      </w:r>
      <w:r w:rsidRPr="00C124B0">
        <w:rPr>
          <w:rFonts w:ascii="Times New Roman" w:hAnsi="Times New Roman"/>
          <w:sz w:val="28"/>
          <w:szCs w:val="28"/>
        </w:rPr>
        <w:t xml:space="preserve"> të projektligjit</w:t>
      </w:r>
      <w:r>
        <w:rPr>
          <w:rFonts w:ascii="Times New Roman" w:hAnsi="Times New Roman"/>
          <w:sz w:val="28"/>
          <w:szCs w:val="28"/>
        </w:rPr>
        <w:t>,</w:t>
      </w:r>
      <w:r w:rsidRPr="00C124B0">
        <w:rPr>
          <w:rFonts w:ascii="Times New Roman" w:hAnsi="Times New Roman"/>
          <w:sz w:val="28"/>
          <w:szCs w:val="28"/>
        </w:rPr>
        <w:t xml:space="preserve"> propozohet të shfuqizohe</w:t>
      </w:r>
      <w:r>
        <w:rPr>
          <w:rFonts w:ascii="Times New Roman" w:hAnsi="Times New Roman"/>
          <w:sz w:val="28"/>
          <w:szCs w:val="28"/>
        </w:rPr>
        <w:t>n</w:t>
      </w:r>
      <w:r w:rsidRPr="00C124B0">
        <w:rPr>
          <w:rFonts w:ascii="Times New Roman" w:hAnsi="Times New Roman"/>
          <w:sz w:val="28"/>
          <w:szCs w:val="28"/>
        </w:rPr>
        <w:t xml:space="preserve"> nen</w:t>
      </w:r>
      <w:r>
        <w:rPr>
          <w:rFonts w:ascii="Times New Roman" w:hAnsi="Times New Roman"/>
          <w:sz w:val="28"/>
          <w:szCs w:val="28"/>
        </w:rPr>
        <w:t>et</w:t>
      </w:r>
      <w:r w:rsidRPr="00C124B0">
        <w:rPr>
          <w:rFonts w:ascii="Times New Roman" w:hAnsi="Times New Roman"/>
          <w:sz w:val="28"/>
          <w:szCs w:val="28"/>
        </w:rPr>
        <w:t xml:space="preserve"> 25/1 dhe  26/1, </w:t>
      </w:r>
      <w:r>
        <w:rPr>
          <w:rFonts w:ascii="Times New Roman" w:hAnsi="Times New Roman"/>
          <w:sz w:val="28"/>
          <w:szCs w:val="28"/>
        </w:rPr>
        <w:t>shkronja</w:t>
      </w:r>
      <w:r w:rsidRPr="00C124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“</w:t>
      </w:r>
      <w:r w:rsidRPr="00C124B0">
        <w:rPr>
          <w:rFonts w:ascii="Times New Roman" w:hAnsi="Times New Roman"/>
          <w:sz w:val="28"/>
          <w:szCs w:val="28"/>
        </w:rPr>
        <w:t>ç</w:t>
      </w:r>
      <w:r>
        <w:rPr>
          <w:rFonts w:ascii="Times New Roman" w:hAnsi="Times New Roman"/>
          <w:sz w:val="28"/>
          <w:szCs w:val="28"/>
        </w:rPr>
        <w:t>”</w:t>
      </w:r>
      <w:r w:rsidRPr="00C124B0">
        <w:rPr>
          <w:rFonts w:ascii="Times New Roman" w:hAnsi="Times New Roman"/>
          <w:sz w:val="28"/>
          <w:szCs w:val="28"/>
        </w:rPr>
        <w:t xml:space="preserve">. Këto dy nene përcaktojnë përjashtim nga TVSH-ja për sektorin hidrokarbur, si </w:t>
      </w:r>
      <w:r>
        <w:rPr>
          <w:rFonts w:ascii="Times New Roman" w:hAnsi="Times New Roman"/>
          <w:sz w:val="28"/>
          <w:szCs w:val="28"/>
        </w:rPr>
        <w:t xml:space="preserve">më poshtë </w:t>
      </w:r>
      <w:r w:rsidRPr="00C124B0">
        <w:rPr>
          <w:rFonts w:ascii="Times New Roman" w:hAnsi="Times New Roman"/>
          <w:sz w:val="28"/>
          <w:szCs w:val="28"/>
        </w:rPr>
        <w:t>vijon:</w:t>
      </w:r>
    </w:p>
    <w:p w:rsidR="007038A2" w:rsidRDefault="007038A2" w:rsidP="007765CB">
      <w:pPr>
        <w:pStyle w:val="Default"/>
        <w:rPr>
          <w:b/>
          <w:i/>
          <w:sz w:val="28"/>
          <w:szCs w:val="28"/>
        </w:rPr>
      </w:pPr>
    </w:p>
    <w:p w:rsidR="007038A2" w:rsidRPr="00974778" w:rsidRDefault="007038A2" w:rsidP="007765CB">
      <w:pPr>
        <w:pStyle w:val="Default"/>
        <w:rPr>
          <w:sz w:val="28"/>
          <w:szCs w:val="28"/>
        </w:rPr>
      </w:pPr>
      <w:r w:rsidRPr="00974778">
        <w:rPr>
          <w:sz w:val="28"/>
          <w:szCs w:val="28"/>
        </w:rPr>
        <w:t>Brenda vendit:</w:t>
      </w:r>
    </w:p>
    <w:p w:rsidR="007038A2" w:rsidRDefault="007038A2" w:rsidP="007765CB">
      <w:pPr>
        <w:pStyle w:val="Default"/>
        <w:jc w:val="both"/>
        <w:rPr>
          <w:sz w:val="28"/>
          <w:szCs w:val="28"/>
        </w:rPr>
      </w:pPr>
    </w:p>
    <w:p w:rsidR="007038A2" w:rsidRPr="00C124B0" w:rsidRDefault="007038A2" w:rsidP="007765CB">
      <w:pPr>
        <w:pStyle w:val="Default"/>
        <w:ind w:left="284" w:hanging="284"/>
        <w:jc w:val="both"/>
        <w:rPr>
          <w:sz w:val="28"/>
          <w:szCs w:val="28"/>
        </w:rPr>
      </w:pPr>
      <w:r w:rsidRPr="00C124B0">
        <w:rPr>
          <w:sz w:val="28"/>
          <w:szCs w:val="28"/>
        </w:rPr>
        <w:t xml:space="preserve">a) Furnizimi i shërbimeve që kryhen nga kontraktorët dhe nënkontraktorët e tyre, të vërtetuar si të tillë nga </w:t>
      </w:r>
      <w:r w:rsidRPr="00974778">
        <w:rPr>
          <w:bCs/>
          <w:sz w:val="28"/>
          <w:szCs w:val="28"/>
        </w:rPr>
        <w:t>Agjencia Kombëtare e Burimeve Natyrore</w:t>
      </w:r>
      <w:r w:rsidRPr="00C124B0">
        <w:rPr>
          <w:b/>
          <w:bCs/>
          <w:sz w:val="28"/>
          <w:szCs w:val="28"/>
        </w:rPr>
        <w:t xml:space="preserve">, </w:t>
      </w:r>
      <w:r w:rsidRPr="00C124B0">
        <w:rPr>
          <w:sz w:val="28"/>
          <w:szCs w:val="28"/>
        </w:rPr>
        <w:t xml:space="preserve">lidhur me realizimin e fazave të kërkimit dhe të zhvillimit të operacioneve hidrokarbure; </w:t>
      </w:r>
    </w:p>
    <w:p w:rsidR="007038A2" w:rsidRPr="00C124B0" w:rsidRDefault="007038A2" w:rsidP="007765CB">
      <w:pPr>
        <w:pStyle w:val="Default"/>
        <w:ind w:left="284" w:hanging="284"/>
        <w:jc w:val="both"/>
        <w:rPr>
          <w:sz w:val="28"/>
          <w:szCs w:val="28"/>
        </w:rPr>
      </w:pPr>
      <w:r w:rsidRPr="00C124B0">
        <w:rPr>
          <w:sz w:val="28"/>
          <w:szCs w:val="28"/>
        </w:rPr>
        <w:t>b)</w:t>
      </w:r>
      <w:r>
        <w:rPr>
          <w:sz w:val="28"/>
          <w:szCs w:val="28"/>
        </w:rPr>
        <w:tab/>
      </w:r>
      <w:r w:rsidRPr="00C124B0">
        <w:rPr>
          <w:sz w:val="28"/>
          <w:szCs w:val="28"/>
        </w:rPr>
        <w:t>Furnizimi i mallrave që bëjnë kontraktorët për njëri-tjetrin ose nënkontraktorët për kontraktorët e tyre, të importuara sipas nenit 26/1</w:t>
      </w:r>
      <w:r>
        <w:rPr>
          <w:sz w:val="28"/>
          <w:szCs w:val="28"/>
        </w:rPr>
        <w:t>,</w:t>
      </w:r>
      <w:r w:rsidRPr="00C124B0">
        <w:rPr>
          <w:sz w:val="28"/>
          <w:szCs w:val="28"/>
        </w:rPr>
        <w:t xml:space="preserve"> të këtij ligji. </w:t>
      </w:r>
    </w:p>
    <w:p w:rsidR="007038A2" w:rsidRPr="00C124B0" w:rsidRDefault="007038A2" w:rsidP="007765CB">
      <w:pPr>
        <w:pStyle w:val="Default"/>
        <w:jc w:val="both"/>
        <w:rPr>
          <w:sz w:val="28"/>
          <w:szCs w:val="28"/>
        </w:rPr>
      </w:pPr>
    </w:p>
    <w:p w:rsidR="007038A2" w:rsidRPr="00974778" w:rsidRDefault="007038A2" w:rsidP="007765CB">
      <w:pPr>
        <w:pStyle w:val="Default"/>
        <w:jc w:val="both"/>
        <w:rPr>
          <w:sz w:val="28"/>
          <w:szCs w:val="28"/>
        </w:rPr>
      </w:pPr>
      <w:r w:rsidRPr="00974778">
        <w:rPr>
          <w:sz w:val="28"/>
          <w:szCs w:val="28"/>
        </w:rPr>
        <w:t>Në import:</w:t>
      </w:r>
    </w:p>
    <w:p w:rsidR="007038A2" w:rsidRPr="00C124B0" w:rsidRDefault="007038A2" w:rsidP="007765CB">
      <w:pPr>
        <w:pStyle w:val="Default"/>
        <w:ind w:left="284" w:hanging="284"/>
        <w:jc w:val="both"/>
        <w:rPr>
          <w:sz w:val="28"/>
          <w:szCs w:val="28"/>
        </w:rPr>
      </w:pPr>
      <w:r w:rsidRPr="00C124B0">
        <w:rPr>
          <w:sz w:val="28"/>
          <w:szCs w:val="28"/>
        </w:rPr>
        <w:t xml:space="preserve">ç) Importimi i mallrave dhe i shërbimeve që lidhen me realizimin e fazave të kërkimit dhe të zhvillimit të operacioneve hidrokarbure, të kryera nga kontraktorët ose nënkontraktorët që punojnë për këto operacione. Kontraktorët dhe nënkontraktorët vërtetohen si të tillë nga Agjencia Kombëtare e Burimeve Natyrore. </w:t>
      </w:r>
    </w:p>
    <w:p w:rsidR="007038A2" w:rsidRPr="00C124B0" w:rsidRDefault="007038A2" w:rsidP="007765CB">
      <w:pPr>
        <w:pStyle w:val="Default"/>
        <w:jc w:val="both"/>
        <w:rPr>
          <w:b/>
          <w:sz w:val="28"/>
          <w:szCs w:val="28"/>
        </w:rPr>
      </w:pPr>
    </w:p>
    <w:p w:rsidR="007038A2" w:rsidRPr="00C124B0" w:rsidRDefault="007038A2" w:rsidP="007765CB">
      <w:pPr>
        <w:pStyle w:val="Default"/>
        <w:jc w:val="both"/>
        <w:rPr>
          <w:sz w:val="28"/>
          <w:szCs w:val="28"/>
        </w:rPr>
      </w:pPr>
      <w:r w:rsidRPr="00C124B0">
        <w:rPr>
          <w:sz w:val="28"/>
          <w:szCs w:val="28"/>
        </w:rPr>
        <w:t>Sektori hidrokarbur gëzon shumë lehtësira fiskale të dhëna ndër vite</w:t>
      </w:r>
      <w:r>
        <w:rPr>
          <w:sz w:val="28"/>
          <w:szCs w:val="28"/>
        </w:rPr>
        <w:t>,</w:t>
      </w:r>
      <w:r w:rsidRPr="00C124B0">
        <w:rPr>
          <w:sz w:val="28"/>
          <w:szCs w:val="28"/>
        </w:rPr>
        <w:t xml:space="preserve"> me synim stimulimin e zhvillimit të këtij sektori në Shqipëri. Një prej tyre është përjashtimi nga TVSH-ja për mallra e shërbime, si në import, </w:t>
      </w:r>
      <w:r>
        <w:rPr>
          <w:sz w:val="28"/>
          <w:szCs w:val="28"/>
        </w:rPr>
        <w:t>ashtu dhe</w:t>
      </w:r>
      <w:r w:rsidRPr="00C124B0">
        <w:rPr>
          <w:sz w:val="28"/>
          <w:szCs w:val="28"/>
        </w:rPr>
        <w:t xml:space="preserve"> brenda vendit, të cil</w:t>
      </w:r>
      <w:r>
        <w:rPr>
          <w:sz w:val="28"/>
          <w:szCs w:val="28"/>
        </w:rPr>
        <w:t xml:space="preserve">at lidhen me fazat e kërkimit </w:t>
      </w:r>
      <w:r w:rsidRPr="00C124B0">
        <w:rPr>
          <w:sz w:val="28"/>
          <w:szCs w:val="28"/>
        </w:rPr>
        <w:t xml:space="preserve">e zhvillimit. Ky përjashtim nuk është në përputhje me direktivën e BE-së për hidrokarburet. Gjithashtu, në bazë të të dhënave të administratës tatimore e doganore janë konstatuar abuzime me këtë lehtësi fiskale.  </w:t>
      </w:r>
    </w:p>
    <w:p w:rsidR="007038A2" w:rsidRPr="00C124B0" w:rsidRDefault="007038A2" w:rsidP="007765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38A2" w:rsidRDefault="007038A2" w:rsidP="007765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24B0">
        <w:rPr>
          <w:rFonts w:ascii="Times New Roman" w:hAnsi="Times New Roman"/>
          <w:sz w:val="28"/>
          <w:szCs w:val="28"/>
        </w:rPr>
        <w:t>Nen</w:t>
      </w:r>
      <w:r>
        <w:rPr>
          <w:rFonts w:ascii="Times New Roman" w:hAnsi="Times New Roman"/>
          <w:sz w:val="28"/>
          <w:szCs w:val="28"/>
        </w:rPr>
        <w:t>et</w:t>
      </w:r>
      <w:r w:rsidRPr="00C124B0">
        <w:rPr>
          <w:rFonts w:ascii="Times New Roman" w:hAnsi="Times New Roman"/>
          <w:sz w:val="28"/>
          <w:szCs w:val="28"/>
        </w:rPr>
        <w:t xml:space="preserve"> 2 dhe 4</w:t>
      </w:r>
      <w:r>
        <w:rPr>
          <w:rFonts w:ascii="Times New Roman" w:hAnsi="Times New Roman"/>
          <w:sz w:val="28"/>
          <w:szCs w:val="28"/>
        </w:rPr>
        <w:t>, të</w:t>
      </w:r>
      <w:r w:rsidRPr="00C124B0">
        <w:rPr>
          <w:rFonts w:ascii="Times New Roman" w:hAnsi="Times New Roman"/>
          <w:sz w:val="28"/>
          <w:szCs w:val="28"/>
        </w:rPr>
        <w:t xml:space="preserve"> këtij projektligji</w:t>
      </w:r>
      <w:r>
        <w:rPr>
          <w:rFonts w:ascii="Times New Roman" w:hAnsi="Times New Roman"/>
          <w:sz w:val="28"/>
          <w:szCs w:val="28"/>
        </w:rPr>
        <w:t>,</w:t>
      </w:r>
      <w:r w:rsidRPr="00C124B0">
        <w:rPr>
          <w:rFonts w:ascii="Times New Roman" w:hAnsi="Times New Roman"/>
          <w:sz w:val="28"/>
          <w:szCs w:val="28"/>
        </w:rPr>
        <w:t xml:space="preserve"> propozo</w:t>
      </w:r>
      <w:r>
        <w:rPr>
          <w:rFonts w:ascii="Times New Roman" w:hAnsi="Times New Roman"/>
          <w:sz w:val="28"/>
          <w:szCs w:val="28"/>
        </w:rPr>
        <w:t>j</w:t>
      </w:r>
      <w:r w:rsidRPr="00C124B0">
        <w:rPr>
          <w:rFonts w:ascii="Times New Roman" w:hAnsi="Times New Roman"/>
          <w:sz w:val="28"/>
          <w:szCs w:val="28"/>
        </w:rPr>
        <w:t>n</w:t>
      </w:r>
      <w:r>
        <w:rPr>
          <w:rFonts w:ascii="Times New Roman" w:hAnsi="Times New Roman"/>
          <w:sz w:val="28"/>
          <w:szCs w:val="28"/>
        </w:rPr>
        <w:t>ë</w:t>
      </w:r>
      <w:r w:rsidRPr="00C124B0">
        <w:rPr>
          <w:rFonts w:ascii="Times New Roman" w:hAnsi="Times New Roman"/>
          <w:sz w:val="28"/>
          <w:szCs w:val="28"/>
        </w:rPr>
        <w:t>:</w:t>
      </w:r>
    </w:p>
    <w:p w:rsidR="007038A2" w:rsidRPr="00C124B0" w:rsidRDefault="007038A2" w:rsidP="007765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38A2" w:rsidRPr="00C124B0" w:rsidRDefault="007038A2" w:rsidP="007765CB">
      <w:pPr>
        <w:numPr>
          <w:ilvl w:val="0"/>
          <w:numId w:val="3"/>
        </w:numPr>
        <w:spacing w:after="0" w:line="240" w:lineRule="auto"/>
        <w:ind w:left="284" w:hanging="218"/>
        <w:jc w:val="both"/>
        <w:rPr>
          <w:rFonts w:ascii="Times New Roman" w:hAnsi="Times New Roman"/>
          <w:sz w:val="28"/>
          <w:szCs w:val="28"/>
        </w:rPr>
      </w:pPr>
      <w:r w:rsidRPr="00C124B0">
        <w:rPr>
          <w:rFonts w:ascii="Times New Roman" w:hAnsi="Times New Roman"/>
          <w:sz w:val="28"/>
          <w:szCs w:val="28"/>
        </w:rPr>
        <w:t>Të shfuqizohen përjashtimet nga TVSH-ja në import për mallrat e importuara për fazat e kërkimit dhe zhvillimit;</w:t>
      </w:r>
    </w:p>
    <w:p w:rsidR="007038A2" w:rsidRPr="00C124B0" w:rsidRDefault="007038A2" w:rsidP="007765CB">
      <w:pPr>
        <w:numPr>
          <w:ilvl w:val="0"/>
          <w:numId w:val="3"/>
        </w:numPr>
        <w:spacing w:after="0" w:line="240" w:lineRule="auto"/>
        <w:ind w:left="284" w:hanging="218"/>
        <w:jc w:val="both"/>
        <w:rPr>
          <w:rFonts w:ascii="Times New Roman" w:hAnsi="Times New Roman"/>
          <w:sz w:val="28"/>
          <w:szCs w:val="28"/>
        </w:rPr>
      </w:pPr>
      <w:r w:rsidRPr="00C124B0">
        <w:rPr>
          <w:rFonts w:ascii="Times New Roman" w:hAnsi="Times New Roman"/>
          <w:sz w:val="28"/>
          <w:szCs w:val="28"/>
        </w:rPr>
        <w:t>Të hiqet përjashtimi nga TVSH-ja për furnizimet e brendshme që kontraktorët dhe nënkontraktorët bëjnë me njëri-tjetrin.</w:t>
      </w:r>
    </w:p>
    <w:p w:rsidR="007038A2" w:rsidRDefault="007038A2" w:rsidP="007765CB">
      <w:pPr>
        <w:pStyle w:val="Default"/>
        <w:jc w:val="both"/>
        <w:rPr>
          <w:b/>
          <w:sz w:val="28"/>
          <w:szCs w:val="28"/>
        </w:rPr>
      </w:pPr>
    </w:p>
    <w:p w:rsidR="007038A2" w:rsidRDefault="007038A2" w:rsidP="007765CB">
      <w:pPr>
        <w:pStyle w:val="Default"/>
        <w:jc w:val="both"/>
        <w:rPr>
          <w:b/>
          <w:sz w:val="28"/>
          <w:szCs w:val="28"/>
        </w:rPr>
      </w:pPr>
      <w:r w:rsidRPr="00ED758D">
        <w:rPr>
          <w:sz w:val="28"/>
          <w:szCs w:val="28"/>
        </w:rPr>
        <w:t>Efektet</w:t>
      </w:r>
      <w:r w:rsidRPr="00C124B0">
        <w:rPr>
          <w:b/>
          <w:sz w:val="28"/>
          <w:szCs w:val="28"/>
        </w:rPr>
        <w:t>:</w:t>
      </w:r>
    </w:p>
    <w:p w:rsidR="007038A2" w:rsidRDefault="007038A2" w:rsidP="007765CB">
      <w:pPr>
        <w:pStyle w:val="Default"/>
        <w:jc w:val="both"/>
        <w:rPr>
          <w:b/>
          <w:sz w:val="28"/>
          <w:szCs w:val="28"/>
        </w:rPr>
      </w:pPr>
    </w:p>
    <w:p w:rsidR="007038A2" w:rsidRPr="00ED758D" w:rsidRDefault="007038A2" w:rsidP="007765CB">
      <w:pPr>
        <w:pStyle w:val="Default"/>
        <w:jc w:val="both"/>
        <w:rPr>
          <w:b/>
          <w:sz w:val="28"/>
          <w:szCs w:val="28"/>
        </w:rPr>
      </w:pPr>
      <w:r w:rsidRPr="00C124B0">
        <w:rPr>
          <w:sz w:val="28"/>
          <w:szCs w:val="28"/>
        </w:rPr>
        <w:t>Në bazë të të dhënave të administratës doganore, për vitin 2011, ky sektor ka pasur përjashtim 2.4 miliardë lekë nga TVSH-ja në import vetëm për karburantin.</w:t>
      </w:r>
    </w:p>
    <w:p w:rsidR="007038A2" w:rsidRPr="00C124B0" w:rsidRDefault="007038A2" w:rsidP="007765CB">
      <w:pPr>
        <w:keepNext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038A2" w:rsidRPr="00C124B0" w:rsidRDefault="007038A2" w:rsidP="007765CB">
      <w:pPr>
        <w:keepNext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124B0">
        <w:rPr>
          <w:rFonts w:ascii="Times New Roman" w:hAnsi="Times New Roman"/>
          <w:color w:val="000000"/>
          <w:sz w:val="28"/>
          <w:szCs w:val="28"/>
        </w:rPr>
        <w:t>Në bazë të të dhënave të administratës tatimore, furnizimi i mallrave dhe shërbimeve që kontraktorët dhe nënkontraktorët e shoqërive të hidrokarbureve  kryejnë në funksion të operacioneve hidrokarbure, për kërkimin dhe zhvillimin, si furnizime të përjashtuara, vlerësohet të jenë rreth 7 miliardë, vetëm për 10-mujorin 2013.</w:t>
      </w:r>
    </w:p>
    <w:p w:rsidR="007038A2" w:rsidRDefault="007038A2" w:rsidP="007765CB">
      <w:pPr>
        <w:keepNext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038A2" w:rsidRPr="00C124B0" w:rsidRDefault="007038A2" w:rsidP="007765CB">
      <w:pPr>
        <w:keepNext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124B0">
        <w:rPr>
          <w:rFonts w:ascii="Times New Roman" w:hAnsi="Times New Roman"/>
          <w:color w:val="000000"/>
          <w:sz w:val="28"/>
          <w:szCs w:val="28"/>
        </w:rPr>
        <w:t>Efekti i vlerësuar në buxhet është 1.5 miliardë lekë, duke marrë në konsideratë shitjet në tregun vendas të kompanive hidrokarbure.</w:t>
      </w:r>
    </w:p>
    <w:p w:rsidR="007038A2" w:rsidRDefault="007038A2" w:rsidP="007765CB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7038A2" w:rsidRPr="00C124B0" w:rsidRDefault="007038A2" w:rsidP="007765CB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ED758D">
        <w:rPr>
          <w:rFonts w:ascii="Times New Roman" w:hAnsi="Times New Roman"/>
          <w:sz w:val="28"/>
          <w:szCs w:val="28"/>
        </w:rPr>
        <w:t>Eksperiencat e vendeve të tjera</w:t>
      </w:r>
      <w:r w:rsidRPr="00C124B0">
        <w:rPr>
          <w:rFonts w:ascii="Times New Roman" w:hAnsi="Times New Roman"/>
          <w:i/>
          <w:sz w:val="28"/>
          <w:szCs w:val="28"/>
        </w:rPr>
        <w:t>:</w:t>
      </w:r>
    </w:p>
    <w:p w:rsidR="007038A2" w:rsidRDefault="007038A2" w:rsidP="007765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38A2" w:rsidRPr="00C124B0" w:rsidRDefault="007038A2" w:rsidP="007765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24B0">
        <w:rPr>
          <w:rFonts w:ascii="Times New Roman" w:hAnsi="Times New Roman"/>
          <w:sz w:val="28"/>
          <w:szCs w:val="28"/>
        </w:rPr>
        <w:t>Eksperiencat e vendeve të tjera i përfshijnë të dyja modelet. Ka vende që kanë</w:t>
      </w:r>
      <w:r>
        <w:rPr>
          <w:rFonts w:ascii="Times New Roman" w:hAnsi="Times New Roman"/>
          <w:sz w:val="28"/>
          <w:szCs w:val="28"/>
        </w:rPr>
        <w:t xml:space="preserve"> aplikuar</w:t>
      </w:r>
      <w:r w:rsidRPr="00C124B0">
        <w:rPr>
          <w:rFonts w:ascii="Times New Roman" w:hAnsi="Times New Roman"/>
          <w:sz w:val="28"/>
          <w:szCs w:val="28"/>
        </w:rPr>
        <w:t xml:space="preserve"> përjasht</w:t>
      </w:r>
      <w:r>
        <w:rPr>
          <w:rFonts w:ascii="Times New Roman" w:hAnsi="Times New Roman"/>
          <w:sz w:val="28"/>
          <w:szCs w:val="28"/>
        </w:rPr>
        <w:t>imet</w:t>
      </w:r>
      <w:r w:rsidRPr="00C124B0">
        <w:rPr>
          <w:rFonts w:ascii="Times New Roman" w:hAnsi="Times New Roman"/>
          <w:sz w:val="28"/>
          <w:szCs w:val="28"/>
        </w:rPr>
        <w:t xml:space="preserve"> nga TVSH-ja, të tilla si: Azerbajxhani, Kameruni, Algjeria si dhe ka vende të cilat nuk aplikojnë të tilla përjashtime, si: Spanja, Danimarka, Australia, Rumania.</w:t>
      </w:r>
    </w:p>
    <w:p w:rsidR="007038A2" w:rsidRDefault="007038A2" w:rsidP="007765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38A2" w:rsidRPr="00C124B0" w:rsidRDefault="007038A2" w:rsidP="007765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24B0">
        <w:rPr>
          <w:rFonts w:ascii="Times New Roman" w:hAnsi="Times New Roman"/>
          <w:sz w:val="28"/>
          <w:szCs w:val="28"/>
        </w:rPr>
        <w:t>Neni 5</w:t>
      </w:r>
      <w:r>
        <w:rPr>
          <w:rFonts w:ascii="Times New Roman" w:hAnsi="Times New Roman"/>
          <w:sz w:val="28"/>
          <w:szCs w:val="28"/>
        </w:rPr>
        <w:t>,</w:t>
      </w:r>
      <w:r w:rsidRPr="00C124B0">
        <w:rPr>
          <w:rFonts w:ascii="Times New Roman" w:hAnsi="Times New Roman"/>
          <w:sz w:val="28"/>
          <w:szCs w:val="28"/>
        </w:rPr>
        <w:t xml:space="preserve"> i projektligjit</w:t>
      </w:r>
      <w:r>
        <w:rPr>
          <w:rFonts w:ascii="Times New Roman" w:hAnsi="Times New Roman"/>
          <w:sz w:val="28"/>
          <w:szCs w:val="28"/>
        </w:rPr>
        <w:t>,</w:t>
      </w:r>
      <w:r w:rsidRPr="00C124B0">
        <w:rPr>
          <w:rFonts w:ascii="Times New Roman" w:hAnsi="Times New Roman"/>
          <w:sz w:val="28"/>
          <w:szCs w:val="28"/>
        </w:rPr>
        <w:t xml:space="preserve"> propozon ndryshimin e mënyrës aktuale të pagesës së tepricës kreditore të TVSH-së së rimbursueshme të tatimpaguesit, duke kaluar nga administrata t</w:t>
      </w:r>
      <w:r>
        <w:rPr>
          <w:rFonts w:ascii="Times New Roman" w:hAnsi="Times New Roman"/>
          <w:sz w:val="28"/>
          <w:szCs w:val="28"/>
        </w:rPr>
        <w:t>atimore, që është aktualisht, te</w:t>
      </w:r>
      <w:r w:rsidRPr="00C124B0">
        <w:rPr>
          <w:rFonts w:ascii="Times New Roman" w:hAnsi="Times New Roman"/>
          <w:sz w:val="28"/>
          <w:szCs w:val="28"/>
        </w:rPr>
        <w:t xml:space="preserve"> sistemi i thesarit, si dhe zgjatjen e afatit të kontrollit dhe aprovimit të tepricës kreditore nga 30 ditë</w:t>
      </w:r>
      <w:r>
        <w:rPr>
          <w:rFonts w:ascii="Times New Roman" w:hAnsi="Times New Roman"/>
          <w:sz w:val="28"/>
          <w:szCs w:val="28"/>
        </w:rPr>
        <w:t>,</w:t>
      </w:r>
      <w:r w:rsidRPr="00C124B0">
        <w:rPr>
          <w:rFonts w:ascii="Times New Roman" w:hAnsi="Times New Roman"/>
          <w:sz w:val="28"/>
          <w:szCs w:val="28"/>
        </w:rPr>
        <w:t xml:space="preserve"> që është aktualisht</w:t>
      </w:r>
      <w:r>
        <w:rPr>
          <w:rFonts w:ascii="Times New Roman" w:hAnsi="Times New Roman"/>
          <w:sz w:val="28"/>
          <w:szCs w:val="28"/>
        </w:rPr>
        <w:t>,</w:t>
      </w:r>
      <w:r w:rsidRPr="00C124B0">
        <w:rPr>
          <w:rFonts w:ascii="Times New Roman" w:hAnsi="Times New Roman"/>
          <w:sz w:val="28"/>
          <w:szCs w:val="28"/>
        </w:rPr>
        <w:t xml:space="preserve"> në 60 ditë.</w:t>
      </w:r>
    </w:p>
    <w:p w:rsidR="007038A2" w:rsidRDefault="007038A2" w:rsidP="007765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38A2" w:rsidRPr="00C124B0" w:rsidRDefault="007038A2" w:rsidP="007765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24B0">
        <w:rPr>
          <w:rFonts w:ascii="Times New Roman" w:hAnsi="Times New Roman"/>
          <w:sz w:val="28"/>
          <w:szCs w:val="28"/>
        </w:rPr>
        <w:t>Zbatimi i programit të qeverisë për pagimin gjatë vitit 2014 të të gjitha shumave të TVSH-së së rimbursueshme të tatimpaguesit shoqërohet me këto dy ndryshime të rëndësishme ligjore</w:t>
      </w:r>
      <w:r>
        <w:rPr>
          <w:rFonts w:ascii="Times New Roman" w:hAnsi="Times New Roman"/>
          <w:sz w:val="28"/>
          <w:szCs w:val="28"/>
        </w:rPr>
        <w:t>,</w:t>
      </w:r>
      <w:r w:rsidRPr="00C124B0">
        <w:rPr>
          <w:rFonts w:ascii="Times New Roman" w:hAnsi="Times New Roman"/>
          <w:sz w:val="28"/>
          <w:szCs w:val="28"/>
        </w:rPr>
        <w:t xml:space="preserve"> për të garantuar procedura të sakta dhe moskrijimin e borxheve të tilla nga administrata tatimore për tatimpaguesin, për vitet në vijim.</w:t>
      </w:r>
    </w:p>
    <w:p w:rsidR="007038A2" w:rsidRDefault="007038A2" w:rsidP="007765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38A2" w:rsidRDefault="007038A2" w:rsidP="007765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24B0">
        <w:rPr>
          <w:rFonts w:ascii="Times New Roman" w:hAnsi="Times New Roman"/>
          <w:sz w:val="28"/>
          <w:szCs w:val="28"/>
        </w:rPr>
        <w:t>Përpos sa më sipër, rimbursimi i TVSH-së nëpërmjet sistemit të thesarit synon:</w:t>
      </w:r>
    </w:p>
    <w:p w:rsidR="007038A2" w:rsidRPr="00C124B0" w:rsidRDefault="007038A2" w:rsidP="007765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38A2" w:rsidRPr="00C124B0" w:rsidRDefault="007038A2" w:rsidP="007765CB">
      <w:pPr>
        <w:pStyle w:val="ListParagraph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C124B0">
        <w:rPr>
          <w:rFonts w:ascii="Times New Roman" w:hAnsi="Times New Roman"/>
          <w:sz w:val="28"/>
          <w:szCs w:val="28"/>
        </w:rPr>
        <w:t>heqjen e diskrecionit të administratës tatimore në dhënien e rimbursimeve të TVSH-së;</w:t>
      </w:r>
    </w:p>
    <w:p w:rsidR="007038A2" w:rsidRPr="00C124B0" w:rsidRDefault="007038A2" w:rsidP="007765CB">
      <w:pPr>
        <w:pStyle w:val="ListParagraph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C124B0">
        <w:rPr>
          <w:rFonts w:ascii="Times New Roman" w:hAnsi="Times New Roman"/>
          <w:sz w:val="28"/>
          <w:szCs w:val="28"/>
        </w:rPr>
        <w:t>sigurimin e zbatimit të parimit kryesor të pagesës së TVS</w:t>
      </w:r>
      <w:r>
        <w:rPr>
          <w:rFonts w:ascii="Times New Roman" w:hAnsi="Times New Roman"/>
          <w:sz w:val="28"/>
          <w:szCs w:val="28"/>
        </w:rPr>
        <w:t>H</w:t>
      </w:r>
      <w:r w:rsidRPr="00C124B0">
        <w:rPr>
          <w:rFonts w:ascii="Times New Roman" w:hAnsi="Times New Roman"/>
          <w:sz w:val="28"/>
          <w:szCs w:val="28"/>
        </w:rPr>
        <w:t>-së të rimbursueshme “first in, first out”;</w:t>
      </w:r>
    </w:p>
    <w:p w:rsidR="007038A2" w:rsidRPr="00C124B0" w:rsidRDefault="007038A2" w:rsidP="007765CB">
      <w:pPr>
        <w:pStyle w:val="ListParagraph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C124B0">
        <w:rPr>
          <w:rFonts w:ascii="Times New Roman" w:hAnsi="Times New Roman"/>
          <w:sz w:val="28"/>
          <w:szCs w:val="28"/>
        </w:rPr>
        <w:t>uljen e korrupsionit.</w:t>
      </w:r>
    </w:p>
    <w:p w:rsidR="007038A2" w:rsidRPr="00C124B0" w:rsidRDefault="007038A2" w:rsidP="007765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38A2" w:rsidRPr="00C124B0" w:rsidRDefault="007038A2" w:rsidP="007765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24B0">
        <w:rPr>
          <w:rFonts w:ascii="Times New Roman" w:hAnsi="Times New Roman"/>
          <w:sz w:val="28"/>
          <w:szCs w:val="28"/>
        </w:rPr>
        <w:t>Zgjatja e afatit të kontrollit dhe aprovimit të tepricës kreditore nga 30 ditë</w:t>
      </w:r>
      <w:r>
        <w:rPr>
          <w:rFonts w:ascii="Times New Roman" w:hAnsi="Times New Roman"/>
          <w:sz w:val="28"/>
          <w:szCs w:val="28"/>
        </w:rPr>
        <w:t>,</w:t>
      </w:r>
      <w:r w:rsidRPr="00C124B0">
        <w:rPr>
          <w:rFonts w:ascii="Times New Roman" w:hAnsi="Times New Roman"/>
          <w:sz w:val="28"/>
          <w:szCs w:val="28"/>
        </w:rPr>
        <w:t xml:space="preserve"> që është aktualisht</w:t>
      </w:r>
      <w:r>
        <w:rPr>
          <w:rFonts w:ascii="Times New Roman" w:hAnsi="Times New Roman"/>
          <w:sz w:val="28"/>
          <w:szCs w:val="28"/>
        </w:rPr>
        <w:t>,</w:t>
      </w:r>
      <w:r w:rsidRPr="00C124B0">
        <w:rPr>
          <w:rFonts w:ascii="Times New Roman" w:hAnsi="Times New Roman"/>
          <w:sz w:val="28"/>
          <w:szCs w:val="28"/>
        </w:rPr>
        <w:t xml:space="preserve"> në 60 ditë, synon dhënien më shumë kohë administratës tatimore në kontrollin e kërkesave të tatimpaguesve për tepricën kreditore të TVSH-së. Ulja e pragut të TVSH-së nga 8 milionë lekë në vit në 5 milionë lekë në vit</w:t>
      </w:r>
      <w:r>
        <w:rPr>
          <w:rFonts w:ascii="Times New Roman" w:hAnsi="Times New Roman"/>
          <w:sz w:val="28"/>
          <w:szCs w:val="28"/>
        </w:rPr>
        <w:t>,</w:t>
      </w:r>
      <w:r w:rsidRPr="00C124B0">
        <w:rPr>
          <w:rFonts w:ascii="Times New Roman" w:hAnsi="Times New Roman"/>
          <w:sz w:val="28"/>
          <w:szCs w:val="28"/>
        </w:rPr>
        <w:t xml:space="preserve"> në vitin 2010</w:t>
      </w:r>
      <w:r>
        <w:rPr>
          <w:rFonts w:ascii="Times New Roman" w:hAnsi="Times New Roman"/>
          <w:sz w:val="28"/>
          <w:szCs w:val="28"/>
        </w:rPr>
        <w:t>,</w:t>
      </w:r>
      <w:r w:rsidRPr="00C124B0">
        <w:rPr>
          <w:rFonts w:ascii="Times New Roman" w:hAnsi="Times New Roman"/>
          <w:sz w:val="28"/>
          <w:szCs w:val="28"/>
        </w:rPr>
        <w:t xml:space="preserve"> solli rritjen e numrit të tatimpaguesve subjekt i TVSH-së, duke rritur kështu numrin e kërkesave për tepricë kreditore të TVSH-së. Administrata tatimore shpeshherë ka qenë në pamundësi të respektimit të afatit ligjor prej 30 ditësh në kontrollin e këtyre kërkesave. </w:t>
      </w:r>
    </w:p>
    <w:p w:rsidR="007038A2" w:rsidRPr="00C124B0" w:rsidRDefault="007038A2" w:rsidP="007765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38A2" w:rsidRPr="00C124B0" w:rsidRDefault="007038A2" w:rsidP="007765CB">
      <w:pPr>
        <w:pStyle w:val="Default"/>
        <w:jc w:val="both"/>
        <w:rPr>
          <w:sz w:val="28"/>
          <w:szCs w:val="28"/>
        </w:rPr>
      </w:pPr>
      <w:r w:rsidRPr="00C124B0">
        <w:rPr>
          <w:sz w:val="28"/>
          <w:szCs w:val="28"/>
        </w:rPr>
        <w:t>Ndërsa, për rastet kur në marrëveshjet financiare të ratifikuara nga Parlamenti ose në marrëveshjet e granteve të miratuara nga Këshilli i Ministrave parashikohet mospërdorimi i burimeve financiare të huaja për të paguar taksa e tatime (duke përfshirë ose jo tatimin mbi vlerën e shtuar), tatimi mbi vlerën e shtuar i paguar u rimbursohet financuesve të huaj nga sistemi i thesarit dhe jo më nga administrata tatimore, brenda 30 ditëve dhe jo më brenda 45 ditëve</w:t>
      </w:r>
      <w:r>
        <w:rPr>
          <w:sz w:val="28"/>
          <w:szCs w:val="28"/>
        </w:rPr>
        <w:t>, siç</w:t>
      </w:r>
      <w:r w:rsidRPr="00C124B0">
        <w:rPr>
          <w:sz w:val="28"/>
          <w:szCs w:val="28"/>
        </w:rPr>
        <w:t xml:space="preserve"> është aktualisht. </w:t>
      </w:r>
    </w:p>
    <w:p w:rsidR="007038A2" w:rsidRPr="00C124B0" w:rsidRDefault="007038A2" w:rsidP="007765C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38A2" w:rsidRDefault="007038A2" w:rsidP="007765C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038A2" w:rsidRPr="00C124B0" w:rsidRDefault="007038A2" w:rsidP="007765C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038A2" w:rsidRPr="00C124B0" w:rsidRDefault="007038A2" w:rsidP="007765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KËSHILLI  I  MINISTRAVE</w:t>
      </w:r>
    </w:p>
    <w:p w:rsidR="007038A2" w:rsidRPr="00C124B0" w:rsidRDefault="007038A2" w:rsidP="007765C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38A2" w:rsidRPr="007765CB" w:rsidRDefault="007038A2" w:rsidP="007765CB"/>
    <w:sectPr w:rsidR="007038A2" w:rsidRPr="007765CB" w:rsidSect="005D2A04">
      <w:footerReference w:type="default" r:id="rId7"/>
      <w:pgSz w:w="12240" w:h="15840"/>
      <w:pgMar w:top="1276" w:right="1530" w:bottom="1134" w:left="1620" w:header="720" w:footer="55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38A2" w:rsidRDefault="007038A2">
      <w:pPr>
        <w:spacing w:after="0" w:line="240" w:lineRule="auto"/>
      </w:pPr>
      <w:r>
        <w:separator/>
      </w:r>
    </w:p>
  </w:endnote>
  <w:endnote w:type="continuationSeparator" w:id="0">
    <w:p w:rsidR="007038A2" w:rsidRDefault="00703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8A2" w:rsidRDefault="007038A2">
    <w:pPr>
      <w:pStyle w:val="Footer"/>
      <w:jc w:val="right"/>
    </w:pPr>
    <w:fldSimple w:instr=" PAGE   \* MERGEFORMAT ">
      <w:r>
        <w:rPr>
          <w:noProof/>
        </w:rPr>
        <w:t>1</w:t>
      </w:r>
    </w:fldSimple>
  </w:p>
  <w:p w:rsidR="007038A2" w:rsidRDefault="007038A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38A2" w:rsidRDefault="007038A2">
      <w:pPr>
        <w:spacing w:after="0" w:line="240" w:lineRule="auto"/>
      </w:pPr>
      <w:r>
        <w:separator/>
      </w:r>
    </w:p>
  </w:footnote>
  <w:footnote w:type="continuationSeparator" w:id="0">
    <w:p w:rsidR="007038A2" w:rsidRDefault="007038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33EA0"/>
    <w:multiLevelType w:val="hybridMultilevel"/>
    <w:tmpl w:val="A5AEA618"/>
    <w:lvl w:ilvl="0" w:tplc="0409000F">
      <w:start w:val="1"/>
      <w:numFmt w:val="decimal"/>
      <w:lvlText w:val="%1."/>
      <w:lvlJc w:val="left"/>
      <w:pPr>
        <w:ind w:left="77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3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9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  <w:rPr>
        <w:rFonts w:cs="Times New Roman"/>
      </w:rPr>
    </w:lvl>
  </w:abstractNum>
  <w:abstractNum w:abstractNumId="1">
    <w:nsid w:val="2C9209D5"/>
    <w:multiLevelType w:val="hybridMultilevel"/>
    <w:tmpl w:val="A424963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76463D3E"/>
    <w:multiLevelType w:val="hybridMultilevel"/>
    <w:tmpl w:val="524821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41ED"/>
    <w:rsid w:val="001E5EE7"/>
    <w:rsid w:val="003B76EF"/>
    <w:rsid w:val="003D58BC"/>
    <w:rsid w:val="003F0463"/>
    <w:rsid w:val="003F1741"/>
    <w:rsid w:val="00495CF9"/>
    <w:rsid w:val="005D2A04"/>
    <w:rsid w:val="007038A2"/>
    <w:rsid w:val="007765CB"/>
    <w:rsid w:val="008041ED"/>
    <w:rsid w:val="00974778"/>
    <w:rsid w:val="009F7754"/>
    <w:rsid w:val="00C04736"/>
    <w:rsid w:val="00C124B0"/>
    <w:rsid w:val="00CC7DE1"/>
    <w:rsid w:val="00ED7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EE7"/>
    <w:pPr>
      <w:spacing w:after="200" w:line="276" w:lineRule="auto"/>
    </w:pPr>
    <w:rPr>
      <w:lang w:val="sq-AL" w:eastAsia="sq-A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8041ED"/>
    <w:pPr>
      <w:spacing w:after="0" w:line="240" w:lineRule="auto"/>
      <w:jc w:val="both"/>
    </w:pPr>
    <w:rPr>
      <w:rFonts w:ascii="Times New Roman" w:eastAsia="MS Mincho" w:hAnsi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041ED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Strong">
    <w:name w:val="Strong"/>
    <w:basedOn w:val="DefaultParagraphFont"/>
    <w:uiPriority w:val="99"/>
    <w:qFormat/>
    <w:rsid w:val="008041ED"/>
    <w:rPr>
      <w:rFonts w:cs="Times New Roman"/>
      <w:b/>
      <w:bCs/>
    </w:rPr>
  </w:style>
  <w:style w:type="paragraph" w:styleId="ListParagraph">
    <w:name w:val="List Paragraph"/>
    <w:basedOn w:val="Normal"/>
    <w:link w:val="ListParagraphChar"/>
    <w:uiPriority w:val="99"/>
    <w:qFormat/>
    <w:rsid w:val="008041ED"/>
    <w:pPr>
      <w:suppressAutoHyphens/>
      <w:autoSpaceDN w:val="0"/>
      <w:spacing w:after="0" w:line="240" w:lineRule="auto"/>
      <w:ind w:left="720"/>
      <w:textAlignment w:val="baseline"/>
    </w:pPr>
    <w:rPr>
      <w:rFonts w:eastAsia="MS Mincho"/>
      <w:sz w:val="20"/>
      <w:szCs w:val="20"/>
      <w:lang w:eastAsia="en-US"/>
    </w:rPr>
  </w:style>
  <w:style w:type="character" w:customStyle="1" w:styleId="ListParagraphChar">
    <w:name w:val="List Paragraph Char"/>
    <w:link w:val="ListParagraph"/>
    <w:uiPriority w:val="99"/>
    <w:locked/>
    <w:rsid w:val="008041ED"/>
    <w:rPr>
      <w:rFonts w:ascii="Calibri" w:eastAsia="MS Mincho" w:hAnsi="Calibri"/>
      <w:lang w:val="sq-AL"/>
    </w:rPr>
  </w:style>
  <w:style w:type="paragraph" w:customStyle="1" w:styleId="Default">
    <w:name w:val="Default"/>
    <w:uiPriority w:val="99"/>
    <w:rsid w:val="008041E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sq-AL" w:eastAsia="sq-AL"/>
    </w:rPr>
  </w:style>
  <w:style w:type="character" w:customStyle="1" w:styleId="TitulliChar">
    <w:name w:val="Titulli Char"/>
    <w:basedOn w:val="DefaultParagraphFont"/>
    <w:link w:val="Titulli"/>
    <w:uiPriority w:val="99"/>
    <w:locked/>
    <w:rsid w:val="008041ED"/>
    <w:rPr>
      <w:rFonts w:ascii="CG Times" w:hAnsi="CG Times" w:cs="Times New Roman"/>
      <w:b/>
      <w:caps/>
      <w:sz w:val="22"/>
      <w:szCs w:val="22"/>
      <w:lang w:val="en-GB" w:eastAsia="sq-AL" w:bidi="ar-SA"/>
    </w:rPr>
  </w:style>
  <w:style w:type="paragraph" w:customStyle="1" w:styleId="Titulli">
    <w:name w:val="Titulli"/>
    <w:next w:val="Normal"/>
    <w:link w:val="TitulliChar"/>
    <w:uiPriority w:val="99"/>
    <w:rsid w:val="008041ED"/>
    <w:pPr>
      <w:keepNext/>
      <w:widowControl w:val="0"/>
      <w:jc w:val="center"/>
      <w:outlineLvl w:val="1"/>
    </w:pPr>
    <w:rPr>
      <w:rFonts w:ascii="CG Times" w:hAnsi="CG Times"/>
      <w:b/>
      <w:caps/>
      <w:lang w:val="en-GB" w:eastAsia="sq-AL"/>
    </w:rPr>
  </w:style>
  <w:style w:type="paragraph" w:styleId="CommentText">
    <w:name w:val="annotation text"/>
    <w:basedOn w:val="Normal"/>
    <w:link w:val="CommentTextChar"/>
    <w:uiPriority w:val="99"/>
    <w:rsid w:val="008041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8041ED"/>
    <w:rPr>
      <w:rFonts w:ascii="Calibri" w:eastAsia="Times New Roman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7765CB"/>
    <w:pPr>
      <w:tabs>
        <w:tab w:val="center" w:pos="4680"/>
        <w:tab w:val="right" w:pos="9360"/>
      </w:tabs>
      <w:spacing w:after="0" w:line="240" w:lineRule="auto"/>
    </w:pPr>
    <w:rPr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765CB"/>
    <w:rPr>
      <w:rFonts w:ascii="Calibri" w:hAnsi="Calibri" w:cs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9</Pages>
  <Words>1361</Words>
  <Characters>7762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Relacion shoqerues</dc:title>
  <dc:subject/>
  <dc:creator>arminda.murrizi</dc:creator>
  <cp:keywords/>
  <dc:description/>
  <cp:lastModifiedBy>Aida</cp:lastModifiedBy>
  <cp:revision>2</cp:revision>
  <dcterms:created xsi:type="dcterms:W3CDTF">2013-12-15T15:01:00Z</dcterms:created>
  <dcterms:modified xsi:type="dcterms:W3CDTF">2013-12-15T15:01:00Z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0x005F1ECC9925A05D40808006118296DECF</vt:lpwstr>
  </property>
  <property fmtid="{D5CDD505-2E9C-101B-9397-08002B2CF9AE}" pid="3" name="TemplateUrl">
    <vt:lpwstr/>
  </property>
  <property fmtid="{D5CDD505-2E9C-101B-9397-08002B2CF9AE}" pid="4" name="ProtocolNumberIn">
    <vt:lpwstr/>
  </property>
  <property fmtid="{D5CDD505-2E9C-101B-9397-08002B2CF9AE}" pid="5" name="DocumentTypeId">
    <vt:lpwstr>3</vt:lpwstr>
  </property>
  <property fmtid="{D5CDD505-2E9C-101B-9397-08002B2CF9AE}" pid="6" name="ProtocolNumberOut">
    <vt:lpwstr>18584/1</vt:lpwstr>
  </property>
  <property fmtid="{D5CDD505-2E9C-101B-9397-08002B2CF9AE}" pid="7" name="_SourceUrl">
    <vt:lpwstr/>
  </property>
  <property fmtid="{D5CDD505-2E9C-101B-9397-08002B2CF9AE}" pid="8" name="xd_ProgID">
    <vt:lpwstr/>
  </property>
  <property fmtid="{D5CDD505-2E9C-101B-9397-08002B2CF9AE}" pid="9" name="Order">
    <vt:lpwstr/>
  </property>
  <property fmtid="{D5CDD505-2E9C-101B-9397-08002B2CF9AE}" pid="10" name="MetaInfo">
    <vt:lpwstr/>
  </property>
</Properties>
</file>