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6A7" w:rsidRPr="00313E38" w:rsidRDefault="007B16A7" w:rsidP="007B16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13E38">
        <w:rPr>
          <w:rFonts w:ascii="Times New Roman" w:hAnsi="Times New Roman"/>
          <w:sz w:val="24"/>
          <w:szCs w:val="24"/>
          <w:lang w:eastAsia="sq-AL"/>
        </w:rPr>
        <w:drawing>
          <wp:inline distT="0" distB="0" distL="0" distR="0" wp14:anchorId="15DB9ED9" wp14:editId="256997F1">
            <wp:extent cx="426720" cy="617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6A7" w:rsidRPr="00313E38" w:rsidRDefault="007B16A7" w:rsidP="007B16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B16A7" w:rsidRPr="00313E38" w:rsidRDefault="007B16A7" w:rsidP="007B16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3E38">
        <w:rPr>
          <w:rFonts w:ascii="Times New Roman" w:hAnsi="Times New Roman"/>
          <w:b/>
          <w:sz w:val="24"/>
          <w:szCs w:val="24"/>
        </w:rPr>
        <w:t>REPUBLIKA E SHQIPËRISË</w:t>
      </w:r>
    </w:p>
    <w:p w:rsidR="00D558B1" w:rsidRPr="007B16A7" w:rsidRDefault="007B16A7" w:rsidP="007B16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3E38">
        <w:rPr>
          <w:rFonts w:ascii="Times New Roman" w:hAnsi="Times New Roman"/>
          <w:b/>
          <w:sz w:val="24"/>
          <w:szCs w:val="24"/>
        </w:rPr>
        <w:t>KUVENDI</w:t>
      </w:r>
      <w:r w:rsidR="00D558B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</w:t>
      </w:r>
    </w:p>
    <w:p w:rsidR="00A770F3" w:rsidRDefault="00A770F3" w:rsidP="00A770F3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0"/>
          <w:szCs w:val="20"/>
          <w:lang w:val="sq-AL" w:eastAsia="en-US"/>
        </w:rPr>
      </w:pPr>
    </w:p>
    <w:p w:rsidR="00446B05" w:rsidRPr="00A770F3" w:rsidRDefault="00446B05" w:rsidP="00A770F3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0"/>
          <w:szCs w:val="20"/>
          <w:lang w:val="sq-AL" w:eastAsia="en-US"/>
        </w:rPr>
      </w:pPr>
    </w:p>
    <w:p w:rsidR="00446B05" w:rsidRPr="00276A16" w:rsidRDefault="00446B05" w:rsidP="00276A16">
      <w:pPr>
        <w:tabs>
          <w:tab w:val="left" w:pos="540"/>
          <w:tab w:val="center" w:pos="4557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6A16">
        <w:rPr>
          <w:rFonts w:ascii="Times New Roman" w:hAnsi="Times New Roman" w:cs="Times New Roman"/>
          <w:sz w:val="24"/>
          <w:szCs w:val="24"/>
        </w:rPr>
        <w:t xml:space="preserve">RELACION SHOQËRUES I RAPORTEVE TË MONITORIMIT </w:t>
      </w:r>
    </w:p>
    <w:p w:rsidR="00446B05" w:rsidRPr="00276A16" w:rsidRDefault="001E7C68" w:rsidP="00276A16">
      <w:pPr>
        <w:tabs>
          <w:tab w:val="left" w:pos="540"/>
          <w:tab w:val="center" w:pos="4557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6A16">
        <w:rPr>
          <w:rFonts w:ascii="Times New Roman" w:hAnsi="Times New Roman" w:cs="Times New Roman"/>
          <w:sz w:val="24"/>
          <w:szCs w:val="24"/>
        </w:rPr>
        <w:t>JANAR-DHJETOR</w:t>
      </w:r>
      <w:r w:rsidR="00446B05" w:rsidRPr="00276A16">
        <w:rPr>
          <w:rFonts w:ascii="Times New Roman" w:hAnsi="Times New Roman" w:cs="Times New Roman"/>
          <w:sz w:val="24"/>
          <w:szCs w:val="24"/>
        </w:rPr>
        <w:t xml:space="preserve"> </w:t>
      </w:r>
      <w:r w:rsidR="00446B05" w:rsidRPr="00276A16">
        <w:rPr>
          <w:rFonts w:ascii="Times New Roman" w:hAnsi="Times New Roman" w:cs="Times New Roman"/>
          <w:sz w:val="24"/>
          <w:szCs w:val="24"/>
          <w:lang w:val="da-DK"/>
        </w:rPr>
        <w:t>VITI 2017</w:t>
      </w:r>
    </w:p>
    <w:p w:rsidR="00446B05" w:rsidRPr="00FB279B" w:rsidRDefault="00446B05" w:rsidP="007B16A7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sz w:val="24"/>
          <w:szCs w:val="24"/>
          <w:lang w:val="da-DK"/>
        </w:rPr>
        <w:t>Buxheti i Kuvendit, është miratuar me ligjin 130/2016 ”Për buxhetin e vitit 2017” dhe ka ndryshuar në muajin gusht 2017 në  zërin e investimeve dhe me aktin normativ nr.3 datë 06.11.2017 n</w:t>
      </w:r>
      <w:r w:rsidR="001E7C68">
        <w:rPr>
          <w:rFonts w:ascii="Times New Roman" w:hAnsi="Times New Roman" w:cs="Times New Roman"/>
          <w:sz w:val="24"/>
          <w:szCs w:val="24"/>
          <w:lang w:val="da-DK"/>
        </w:rPr>
        <w:t>ë zë</w:t>
      </w:r>
      <w:r w:rsidRPr="00FB279B">
        <w:rPr>
          <w:rFonts w:ascii="Times New Roman" w:hAnsi="Times New Roman" w:cs="Times New Roman"/>
          <w:sz w:val="24"/>
          <w:szCs w:val="24"/>
          <w:lang w:val="da-DK"/>
        </w:rPr>
        <w:t>rin e shpenzimeve operative dhe shpenzimeve kapitale.</w:t>
      </w:r>
      <w:r w:rsidR="001E7C68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Pr="00FB279B">
        <w:rPr>
          <w:rFonts w:ascii="Times New Roman" w:hAnsi="Times New Roman" w:cs="Times New Roman"/>
          <w:sz w:val="24"/>
          <w:szCs w:val="24"/>
          <w:lang w:val="da-DK"/>
        </w:rPr>
        <w:t>Realizimi i buxhetit për vitin 2017 rezulton 84.9</w:t>
      </w:r>
      <w:r w:rsidR="001E7C68">
        <w:rPr>
          <w:rFonts w:ascii="Times New Roman" w:hAnsi="Times New Roman" w:cs="Times New Roman"/>
          <w:sz w:val="24"/>
          <w:szCs w:val="24"/>
          <w:lang w:val="da-DK"/>
        </w:rPr>
        <w:t>2</w:t>
      </w:r>
      <w:r w:rsidRPr="00FB279B">
        <w:rPr>
          <w:rFonts w:ascii="Times New Roman" w:hAnsi="Times New Roman" w:cs="Times New Roman"/>
          <w:sz w:val="24"/>
          <w:szCs w:val="24"/>
          <w:lang w:val="da-DK"/>
        </w:rPr>
        <w:t xml:space="preserve"> % në total, ndërsa dhe sipas programeve dhe zërave buxhetorë paraqitet në tabelën e mëposhtme:</w:t>
      </w:r>
    </w:p>
    <w:tbl>
      <w:tblPr>
        <w:tblW w:w="10407" w:type="dxa"/>
        <w:tblInd w:w="-426" w:type="dxa"/>
        <w:tblLook w:val="04A0" w:firstRow="1" w:lastRow="0" w:firstColumn="1" w:lastColumn="0" w:noHBand="0" w:noVBand="1"/>
      </w:tblPr>
      <w:tblGrid>
        <w:gridCol w:w="3685"/>
        <w:gridCol w:w="880"/>
        <w:gridCol w:w="990"/>
        <w:gridCol w:w="971"/>
        <w:gridCol w:w="1155"/>
        <w:gridCol w:w="825"/>
        <w:gridCol w:w="683"/>
        <w:gridCol w:w="1218"/>
      </w:tblGrid>
      <w:tr w:rsidR="00446B05" w:rsidRPr="00FB279B" w:rsidTr="007B16A7">
        <w:trPr>
          <w:trHeight w:val="270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44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 xml:space="preserve"> n</w:t>
            </w: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ë mln lekë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</w:p>
        </w:tc>
      </w:tr>
      <w:tr w:rsidR="00446B05" w:rsidRPr="00FB279B" w:rsidTr="007B16A7">
        <w:trPr>
          <w:trHeight w:val="270"/>
        </w:trPr>
        <w:tc>
          <w:tcPr>
            <w:tcW w:w="3685" w:type="dxa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  <w:t>Zerat buxhetore</w:t>
            </w:r>
          </w:p>
        </w:tc>
        <w:tc>
          <w:tcPr>
            <w:tcW w:w="187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  <w:t xml:space="preserve">Programi Legjislativ </w:t>
            </w:r>
          </w:p>
        </w:tc>
        <w:tc>
          <w:tcPr>
            <w:tcW w:w="2126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  <w:t>Programi administrativ</w:t>
            </w:r>
          </w:p>
        </w:tc>
        <w:tc>
          <w:tcPr>
            <w:tcW w:w="150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  <w:t>Buxheti total</w:t>
            </w:r>
          </w:p>
        </w:tc>
        <w:tc>
          <w:tcPr>
            <w:tcW w:w="121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  <w:t>% realizimit</w:t>
            </w:r>
          </w:p>
        </w:tc>
      </w:tr>
      <w:tr w:rsidR="00446B05" w:rsidRPr="00FB279B" w:rsidTr="007B16A7">
        <w:trPr>
          <w:trHeight w:val="270"/>
        </w:trPr>
        <w:tc>
          <w:tcPr>
            <w:tcW w:w="3685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  <w:t>Plan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  <w:t>Fakt</w:t>
            </w:r>
          </w:p>
        </w:tc>
        <w:tc>
          <w:tcPr>
            <w:tcW w:w="9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  <w:t>Plan</w:t>
            </w:r>
          </w:p>
        </w:tc>
        <w:tc>
          <w:tcPr>
            <w:tcW w:w="115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  <w:t>Fakt</w:t>
            </w:r>
          </w:p>
        </w:tc>
        <w:tc>
          <w:tcPr>
            <w:tcW w:w="8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  <w:t>Plan</w:t>
            </w: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  <w:t>Fakt</w:t>
            </w:r>
          </w:p>
        </w:tc>
        <w:tc>
          <w:tcPr>
            <w:tcW w:w="121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  <w:t> </w:t>
            </w:r>
          </w:p>
        </w:tc>
      </w:tr>
      <w:tr w:rsidR="00446B05" w:rsidRPr="00FB279B" w:rsidTr="007B16A7">
        <w:trPr>
          <w:trHeight w:val="270"/>
        </w:trPr>
        <w:tc>
          <w:tcPr>
            <w:tcW w:w="3685" w:type="dxa"/>
            <w:tcBorders>
              <w:top w:val="nil"/>
              <w:left w:val="double" w:sz="6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7=6/5</w:t>
            </w:r>
          </w:p>
        </w:tc>
      </w:tr>
      <w:tr w:rsidR="00446B05" w:rsidRPr="00FB279B" w:rsidTr="007B16A7">
        <w:trPr>
          <w:trHeight w:val="255"/>
        </w:trPr>
        <w:tc>
          <w:tcPr>
            <w:tcW w:w="368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Shpenzime për paga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332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301</w:t>
            </w:r>
          </w:p>
        </w:tc>
        <w:tc>
          <w:tcPr>
            <w:tcW w:w="97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197</w:t>
            </w:r>
          </w:p>
        </w:tc>
        <w:tc>
          <w:tcPr>
            <w:tcW w:w="11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196</w:t>
            </w:r>
          </w:p>
        </w:tc>
        <w:tc>
          <w:tcPr>
            <w:tcW w:w="82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529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497</w:t>
            </w:r>
          </w:p>
        </w:tc>
        <w:tc>
          <w:tcPr>
            <w:tcW w:w="1218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93,95%</w:t>
            </w:r>
          </w:p>
        </w:tc>
      </w:tr>
      <w:tr w:rsidR="00446B05" w:rsidRPr="00FB279B" w:rsidTr="007B16A7">
        <w:trPr>
          <w:trHeight w:val="255"/>
        </w:trPr>
        <w:tc>
          <w:tcPr>
            <w:tcW w:w="368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shpenzime për kontribute të sigurimeve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47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36</w:t>
            </w:r>
          </w:p>
        </w:tc>
        <w:tc>
          <w:tcPr>
            <w:tcW w:w="97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33</w:t>
            </w:r>
          </w:p>
        </w:tc>
        <w:tc>
          <w:tcPr>
            <w:tcW w:w="11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31</w:t>
            </w:r>
          </w:p>
        </w:tc>
        <w:tc>
          <w:tcPr>
            <w:tcW w:w="82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80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67</w:t>
            </w:r>
          </w:p>
        </w:tc>
        <w:tc>
          <w:tcPr>
            <w:tcW w:w="1218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83.75%</w:t>
            </w:r>
          </w:p>
        </w:tc>
      </w:tr>
      <w:tr w:rsidR="00446B05" w:rsidRPr="00FB279B" w:rsidTr="007B16A7">
        <w:trPr>
          <w:trHeight w:val="255"/>
        </w:trPr>
        <w:tc>
          <w:tcPr>
            <w:tcW w:w="368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 xml:space="preserve">shpenzime operative për funksionim 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309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238</w:t>
            </w:r>
          </w:p>
        </w:tc>
        <w:tc>
          <w:tcPr>
            <w:tcW w:w="97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123</w:t>
            </w:r>
          </w:p>
        </w:tc>
        <w:tc>
          <w:tcPr>
            <w:tcW w:w="11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85</w:t>
            </w:r>
          </w:p>
        </w:tc>
        <w:tc>
          <w:tcPr>
            <w:tcW w:w="82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432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323</w:t>
            </w:r>
          </w:p>
        </w:tc>
        <w:tc>
          <w:tcPr>
            <w:tcW w:w="1218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74,76%</w:t>
            </w:r>
          </w:p>
        </w:tc>
      </w:tr>
      <w:tr w:rsidR="00446B05" w:rsidRPr="00FB279B" w:rsidTr="007B16A7">
        <w:trPr>
          <w:trHeight w:val="255"/>
        </w:trPr>
        <w:tc>
          <w:tcPr>
            <w:tcW w:w="368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 xml:space="preserve">shpenzime kapitale 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40</w:t>
            </w:r>
          </w:p>
        </w:tc>
        <w:tc>
          <w:tcPr>
            <w:tcW w:w="11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31</w:t>
            </w:r>
          </w:p>
        </w:tc>
        <w:tc>
          <w:tcPr>
            <w:tcW w:w="82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40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31</w:t>
            </w:r>
          </w:p>
        </w:tc>
        <w:tc>
          <w:tcPr>
            <w:tcW w:w="1218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77,50%</w:t>
            </w:r>
          </w:p>
        </w:tc>
      </w:tr>
      <w:tr w:rsidR="00446B05" w:rsidRPr="00FB279B" w:rsidTr="007B16A7">
        <w:trPr>
          <w:trHeight w:val="269"/>
        </w:trPr>
        <w:tc>
          <w:tcPr>
            <w:tcW w:w="3685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q-AL"/>
              </w:rPr>
              <w:t>688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q-AL"/>
              </w:rPr>
              <w:t>575</w:t>
            </w:r>
          </w:p>
        </w:tc>
        <w:tc>
          <w:tcPr>
            <w:tcW w:w="971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q-AL"/>
              </w:rPr>
              <w:t>393</w:t>
            </w:r>
          </w:p>
        </w:tc>
        <w:tc>
          <w:tcPr>
            <w:tcW w:w="115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q-AL"/>
              </w:rPr>
              <w:t>343</w:t>
            </w:r>
          </w:p>
        </w:tc>
        <w:tc>
          <w:tcPr>
            <w:tcW w:w="82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q-AL"/>
              </w:rPr>
              <w:t>1081</w:t>
            </w: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q-AL"/>
              </w:rPr>
              <w:t>918</w:t>
            </w:r>
          </w:p>
        </w:tc>
        <w:tc>
          <w:tcPr>
            <w:tcW w:w="121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q-AL"/>
              </w:rPr>
              <w:t xml:space="preserve">     84,92%</w:t>
            </w:r>
          </w:p>
        </w:tc>
      </w:tr>
    </w:tbl>
    <w:p w:rsidR="001E7C68" w:rsidRDefault="001E7C68" w:rsidP="001E7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a-DK"/>
        </w:rPr>
      </w:pPr>
    </w:p>
    <w:p w:rsidR="00446B05" w:rsidRPr="001E7C68" w:rsidRDefault="00446B05" w:rsidP="001E7C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sz w:val="24"/>
          <w:szCs w:val="24"/>
          <w:lang w:val="da-DK"/>
        </w:rPr>
        <w:t>Ndërsa realizimi plan fakt i buxhetit të Kuvendit në vite paraqitet si në grafikun e mëposhtëm:</w:t>
      </w:r>
    </w:p>
    <w:p w:rsidR="00446B05" w:rsidRPr="00FB279B" w:rsidRDefault="00446B05" w:rsidP="00446B05">
      <w:pPr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drawing>
          <wp:inline distT="0" distB="0" distL="0" distR="0" wp14:anchorId="72B9385F" wp14:editId="46B49610">
            <wp:extent cx="5631180" cy="2834640"/>
            <wp:effectExtent l="0" t="0" r="7620" b="3810"/>
            <wp:docPr id="41" name="Chart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46B05" w:rsidRPr="00FB279B" w:rsidRDefault="00446B05" w:rsidP="00446B05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da-DK"/>
        </w:rPr>
      </w:pPr>
      <w:r w:rsidRPr="00FB279B">
        <w:rPr>
          <w:rFonts w:ascii="Times New Roman" w:hAnsi="Times New Roman" w:cs="Times New Roman"/>
          <w:b/>
          <w:i/>
          <w:sz w:val="24"/>
          <w:szCs w:val="24"/>
          <w:u w:val="single"/>
          <w:lang w:val="da-DK"/>
        </w:rPr>
        <w:lastRenderedPageBreak/>
        <w:t>Shpenzimet për paga dhe sigurime shoqërore</w:t>
      </w:r>
    </w:p>
    <w:p w:rsidR="00446B05" w:rsidRPr="00FB279B" w:rsidRDefault="00446B05" w:rsidP="00446B05">
      <w:pPr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sz w:val="24"/>
          <w:szCs w:val="24"/>
          <w:lang w:val="da-DK"/>
        </w:rPr>
        <w:t>Për vitin 2017, shpenzimet për paga dhe kontribute të sigurimeve janë realizuar në masën 92.61% në total ndërsa ndarë sipas programeve buxhetore  realizimi paraqitet 98.69 % për programin administrativ dhe 88.92 % në programin legjislativ.</w:t>
      </w:r>
    </w:p>
    <w:p w:rsidR="00446B05" w:rsidRPr="00FB279B" w:rsidRDefault="00446B05" w:rsidP="00446B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sz w:val="24"/>
          <w:szCs w:val="24"/>
          <w:lang w:val="da-DK"/>
        </w:rPr>
        <w:t>Mosrealizimi i fondit të pagave në programin administrativ vjen kryesisht si rezultat i vendeve vakante, në proces rekrutimi.</w:t>
      </w:r>
    </w:p>
    <w:p w:rsidR="00446B05" w:rsidRPr="00FB279B" w:rsidRDefault="00446B05" w:rsidP="00446B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sz w:val="24"/>
          <w:szCs w:val="24"/>
          <w:lang w:val="da-DK"/>
        </w:rPr>
        <w:t>Mosrealizimi i fondit të pagave në programin legjislativ ka këto argumente:</w:t>
      </w:r>
    </w:p>
    <w:p w:rsidR="00446B05" w:rsidRPr="00FB279B" w:rsidRDefault="00446B05" w:rsidP="00446B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sz w:val="24"/>
          <w:szCs w:val="24"/>
          <w:lang w:val="da-DK"/>
        </w:rPr>
        <w:t>-8 deputetë të Legjislaturës së re kanë kaluar në funksionin e ministrit (shtator 2017);</w:t>
      </w:r>
    </w:p>
    <w:p w:rsidR="00446B05" w:rsidRPr="00FB279B" w:rsidRDefault="00446B05" w:rsidP="00446B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sz w:val="24"/>
          <w:szCs w:val="24"/>
          <w:lang w:val="da-DK"/>
        </w:rPr>
        <w:t>- 7 këshilltarë të Kreut të Kuvendit që parashikon struktura, në periudhën shtator-dhjetor 2017 kanë qënë vende vakante;</w:t>
      </w:r>
    </w:p>
    <w:p w:rsidR="00446B05" w:rsidRPr="00FB279B" w:rsidRDefault="00446B05" w:rsidP="00446B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sz w:val="24"/>
          <w:szCs w:val="24"/>
          <w:lang w:val="da-DK"/>
        </w:rPr>
        <w:t>-nga 24 nëpunës që parashikon struktura për zyrat zgjedhore, vetëm 10 punonjës janë rekrutuar dhe trajtuar me pagë.</w:t>
      </w:r>
    </w:p>
    <w:p w:rsidR="00446B05" w:rsidRPr="00FB279B" w:rsidRDefault="00446B05" w:rsidP="00446B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sz w:val="24"/>
          <w:szCs w:val="24"/>
          <w:lang w:val="da-DK"/>
        </w:rPr>
        <w:t>Më poshtë jepet grafikisht fondi faktik i pagave në vite, i ndarë në fond për stafin politik dhe fond për stafin administrativ.</w:t>
      </w:r>
    </w:p>
    <w:p w:rsidR="00446B05" w:rsidRPr="00FB279B" w:rsidRDefault="00446B05" w:rsidP="00446B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drawing>
          <wp:inline distT="0" distB="0" distL="0" distR="0" wp14:anchorId="18EDBFE7" wp14:editId="73E7BD75">
            <wp:extent cx="5076825" cy="2228850"/>
            <wp:effectExtent l="0" t="0" r="9525" b="0"/>
            <wp:docPr id="42" name="Chart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46B05" w:rsidRPr="00FB279B" w:rsidRDefault="00446B05" w:rsidP="00446B05">
      <w:pPr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</w:p>
    <w:p w:rsidR="00446B05" w:rsidRDefault="00446B05" w:rsidP="00446B0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79B">
        <w:rPr>
          <w:rFonts w:ascii="Times New Roman" w:hAnsi="Times New Roman" w:cs="Times New Roman"/>
          <w:sz w:val="24"/>
          <w:szCs w:val="24"/>
          <w:lang w:val="da-DK"/>
        </w:rPr>
        <w:t>M</w:t>
      </w:r>
      <w:r w:rsidRPr="00FB279B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ë 1 mars 2017 hyri në fuqi </w:t>
      </w:r>
      <w:r w:rsidRPr="00FB279B">
        <w:rPr>
          <w:rFonts w:ascii="Times New Roman" w:hAnsi="Times New Roman" w:cs="Times New Roman"/>
          <w:color w:val="000000"/>
          <w:sz w:val="24"/>
          <w:szCs w:val="24"/>
        </w:rPr>
        <w:t>vkm nr.202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FB279B">
        <w:rPr>
          <w:rFonts w:ascii="Times New Roman" w:hAnsi="Times New Roman" w:cs="Times New Roman"/>
          <w:color w:val="000000"/>
          <w:sz w:val="24"/>
          <w:szCs w:val="24"/>
        </w:rPr>
        <w:t xml:space="preserve">2017  mbi bazën e të cilit u llogarit efekti financiar 10 mujor (për vitin 2017) dhe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efekti financiar </w:t>
      </w:r>
      <w:r w:rsidRPr="00FB279B">
        <w:rPr>
          <w:rFonts w:ascii="Times New Roman" w:hAnsi="Times New Roman" w:cs="Times New Roman"/>
          <w:color w:val="000000"/>
          <w:sz w:val="24"/>
          <w:szCs w:val="24"/>
        </w:rPr>
        <w:t>vjetor për vitin 2018</w:t>
      </w:r>
      <w:r>
        <w:rPr>
          <w:rFonts w:ascii="Times New Roman" w:hAnsi="Times New Roman" w:cs="Times New Roman"/>
          <w:color w:val="000000"/>
          <w:sz w:val="24"/>
          <w:szCs w:val="24"/>
        </w:rPr>
        <w:t>. S</w:t>
      </w:r>
      <w:r w:rsidRPr="00FB279B">
        <w:rPr>
          <w:rFonts w:ascii="Times New Roman" w:hAnsi="Times New Roman" w:cs="Times New Roman"/>
          <w:color w:val="000000"/>
          <w:sz w:val="24"/>
          <w:szCs w:val="24"/>
        </w:rPr>
        <w:t>i rezultat e argumenteve të sipërcituara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dhe analizave të herëpashershme, pavarësisht efektit në rritje,</w:t>
      </w:r>
      <w:r w:rsidRPr="00FB279B">
        <w:rPr>
          <w:rFonts w:ascii="Times New Roman" w:hAnsi="Times New Roman" w:cs="Times New Roman"/>
          <w:color w:val="000000"/>
          <w:sz w:val="24"/>
          <w:szCs w:val="24"/>
        </w:rPr>
        <w:t xml:space="preserve"> nuk u kërkuan fonde buxhetore  shtesë për vitin 2017.</w:t>
      </w:r>
    </w:p>
    <w:p w:rsidR="00446B05" w:rsidRPr="00FB279B" w:rsidRDefault="00446B05" w:rsidP="00446B0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6B05" w:rsidRPr="00FB279B" w:rsidRDefault="00446B05" w:rsidP="00446B05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it-IT"/>
        </w:rPr>
      </w:pPr>
      <w:r w:rsidRPr="00FB279B">
        <w:rPr>
          <w:rFonts w:ascii="Times New Roman" w:hAnsi="Times New Roman" w:cs="Times New Roman"/>
          <w:b/>
          <w:i/>
          <w:sz w:val="24"/>
          <w:szCs w:val="24"/>
          <w:u w:val="single"/>
          <w:lang w:val="it-IT"/>
        </w:rPr>
        <w:t>Shpenzimet për mallra dhe shërbime</w:t>
      </w:r>
    </w:p>
    <w:p w:rsidR="00446B05" w:rsidRPr="00FB279B" w:rsidRDefault="00446B05" w:rsidP="00446B0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B279B">
        <w:rPr>
          <w:rFonts w:ascii="Times New Roman" w:hAnsi="Times New Roman" w:cs="Times New Roman"/>
          <w:sz w:val="24"/>
          <w:szCs w:val="24"/>
          <w:lang w:val="it-IT"/>
        </w:rPr>
        <w:t>Për vitin 2017 ky zë është realizuar në masën 74.76 % në total ndërsa sipas programeve ky realizim është përkatësisht 77% për programin legjislativ dhe 69.1% për programin adminsitrativ.</w:t>
      </w:r>
    </w:p>
    <w:p w:rsidR="00446B05" w:rsidRPr="00FB279B" w:rsidRDefault="00446B05" w:rsidP="00446B0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B279B">
        <w:rPr>
          <w:rFonts w:ascii="Times New Roman" w:hAnsi="Times New Roman" w:cs="Times New Roman"/>
          <w:sz w:val="24"/>
          <w:szCs w:val="24"/>
          <w:lang w:val="it-IT"/>
        </w:rPr>
        <w:t>Në këtë zë shpenzimesh përfshihet një gamë e gjerë shërbimesh dhe mallrash të cilat janë paraqitur sipas peshës specifike që zënë në totalin e shpenzimeve, në grafikun e mëposhtëm:</w:t>
      </w:r>
    </w:p>
    <w:p w:rsidR="00446B05" w:rsidRPr="00FB279B" w:rsidRDefault="00446B05" w:rsidP="00446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46B05" w:rsidRPr="00FB279B" w:rsidRDefault="00446B05" w:rsidP="00446B05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it-IT"/>
        </w:rPr>
      </w:pPr>
      <w:r w:rsidRPr="00FB279B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drawing>
          <wp:inline distT="0" distB="0" distL="0" distR="0" wp14:anchorId="1C5C28B8" wp14:editId="1692CE06">
            <wp:extent cx="6162675" cy="6038850"/>
            <wp:effectExtent l="0" t="0" r="9525" b="0"/>
            <wp:docPr id="43" name="Chart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46B05" w:rsidRPr="00FB279B" w:rsidRDefault="00446B05" w:rsidP="00446B05">
      <w:pPr>
        <w:pStyle w:val="ListParagraph"/>
        <w:numPr>
          <w:ilvl w:val="0"/>
          <w:numId w:val="8"/>
        </w:numPr>
        <w:tabs>
          <w:tab w:val="left" w:pos="0"/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sz w:val="24"/>
          <w:szCs w:val="24"/>
          <w:lang w:val="da-DK"/>
        </w:rPr>
        <w:t xml:space="preserve">Grupi më i madh i shpenzimeve në këtë zë </w:t>
      </w:r>
      <w:r w:rsidRPr="00FB279B">
        <w:rPr>
          <w:rFonts w:ascii="Times New Roman" w:hAnsi="Times New Roman" w:cs="Times New Roman"/>
          <w:i/>
          <w:sz w:val="24"/>
          <w:szCs w:val="24"/>
          <w:lang w:val="da-DK"/>
        </w:rPr>
        <w:t>përfaqëson përfitimet ligjore</w:t>
      </w:r>
      <w:r w:rsidRPr="00FB279B">
        <w:rPr>
          <w:rFonts w:ascii="Times New Roman" w:hAnsi="Times New Roman" w:cs="Times New Roman"/>
          <w:sz w:val="24"/>
          <w:szCs w:val="24"/>
          <w:lang w:val="da-DK"/>
        </w:rPr>
        <w:t xml:space="preserve"> që Statusi i deputeti i njeh anëtarëve të parlamentit, për të facilituar udhëtimet ne qarqet elektrorale dhe pjesëmarrjet në mbledhjet e komisioneve parlamentare, seancave plenare dhe të tjera veprimtari parlamentare.</w:t>
      </w:r>
    </w:p>
    <w:p w:rsidR="00446B05" w:rsidRPr="00FB279B" w:rsidRDefault="00446B05" w:rsidP="00446B05">
      <w:pPr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sz w:val="24"/>
          <w:szCs w:val="24"/>
          <w:lang w:val="da-DK"/>
        </w:rPr>
        <w:t>Këto shpenzime planifikohen mbi bazën e vendimti 114/2014 të Kuvendit ”Për trajtimin e deputetëve”.</w:t>
      </w:r>
    </w:p>
    <w:p w:rsidR="00974AD1" w:rsidRDefault="00446B05" w:rsidP="00446B05">
      <w:pPr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sz w:val="24"/>
          <w:szCs w:val="24"/>
          <w:lang w:val="da-DK"/>
        </w:rPr>
        <w:t>Realizimi faktik i këtyre shpenzimeve është 80 %, për shkak se numri i ditëve të shërbimeve të deklaruara nga deputetë është më i ulët se parashikimi; numri i mbledhjeve të komisioneve gjithashtu nuk arrin numrin e parashikuar, kontratat e qerave të paraqitura e të trajtuara financiarisht në vitin 2017 ish</w:t>
      </w:r>
      <w:r w:rsidR="007B16A7">
        <w:rPr>
          <w:rFonts w:ascii="Times New Roman" w:hAnsi="Times New Roman" w:cs="Times New Roman"/>
          <w:sz w:val="24"/>
          <w:szCs w:val="24"/>
          <w:lang w:val="da-DK"/>
        </w:rPr>
        <w:t>in vetëm</w:t>
      </w:r>
      <w:r w:rsidRPr="00FB279B">
        <w:rPr>
          <w:rFonts w:ascii="Times New Roman" w:hAnsi="Times New Roman" w:cs="Times New Roman"/>
          <w:sz w:val="24"/>
          <w:szCs w:val="24"/>
          <w:lang w:val="da-DK"/>
        </w:rPr>
        <w:t xml:space="preserve"> 9</w:t>
      </w:r>
      <w:r w:rsidR="007B16A7">
        <w:rPr>
          <w:rFonts w:ascii="Times New Roman" w:hAnsi="Times New Roman" w:cs="Times New Roman"/>
          <w:sz w:val="24"/>
          <w:szCs w:val="24"/>
          <w:lang w:val="da-DK"/>
        </w:rPr>
        <w:t xml:space="preserve"> të tilla</w:t>
      </w:r>
      <w:r w:rsidRPr="00FB279B">
        <w:rPr>
          <w:rFonts w:ascii="Times New Roman" w:hAnsi="Times New Roman" w:cs="Times New Roman"/>
          <w:sz w:val="24"/>
          <w:szCs w:val="24"/>
          <w:lang w:val="da-DK"/>
        </w:rPr>
        <w:t>.</w:t>
      </w:r>
    </w:p>
    <w:p w:rsidR="00446B05" w:rsidRPr="00FB279B" w:rsidRDefault="00446B05" w:rsidP="00446B05">
      <w:pPr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da-DK"/>
        </w:rPr>
      </w:pPr>
      <w:r w:rsidRPr="00FB279B">
        <w:rPr>
          <w:rFonts w:ascii="Times New Roman" w:hAnsi="Times New Roman" w:cs="Times New Roman"/>
          <w:b/>
          <w:i/>
          <w:sz w:val="24"/>
          <w:szCs w:val="24"/>
          <w:u w:val="single"/>
          <w:lang w:val="da-DK"/>
        </w:rPr>
        <w:t xml:space="preserve"> </w:t>
      </w:r>
    </w:p>
    <w:p w:rsidR="00974AD1" w:rsidRPr="007B16A7" w:rsidRDefault="00446B05" w:rsidP="007B16A7">
      <w:pPr>
        <w:pStyle w:val="ListParagraph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i/>
          <w:sz w:val="24"/>
          <w:szCs w:val="24"/>
          <w:lang w:val="da-DK"/>
        </w:rPr>
        <w:t xml:space="preserve">Shpenzimet për udhëtime jashtë shtetit </w:t>
      </w:r>
      <w:r w:rsidRPr="00FB279B">
        <w:rPr>
          <w:rFonts w:ascii="Times New Roman" w:hAnsi="Times New Roman" w:cs="Times New Roman"/>
          <w:sz w:val="24"/>
          <w:szCs w:val="24"/>
          <w:lang w:val="da-DK"/>
        </w:rPr>
        <w:t xml:space="preserve">janë realizuar 68 % e planifikimit. Janë disa faktorë që ndikojnë në realizimin e këtyre shpenzimeve që kanë të bëjnë me numrin e aktiviteteve </w:t>
      </w:r>
      <w:r w:rsidRPr="00FB279B">
        <w:rPr>
          <w:rFonts w:ascii="Times New Roman" w:hAnsi="Times New Roman" w:cs="Times New Roman"/>
          <w:sz w:val="24"/>
          <w:szCs w:val="24"/>
          <w:lang w:val="da-DK"/>
        </w:rPr>
        <w:lastRenderedPageBreak/>
        <w:t>ndërparlamentare, kohën kur bëhet udhëtimi (që ndikon në çmimin e biletave të udhëtimit), me numrin përbërës të  delegacioneve, kohën e qëndrimit në aktivitete dhe së fundi, duhet sjellë në vëmendje se viti 2017 ishte vit elektoral dhe për një periudhë maj-shtator 2017 nuk ka patur aktivitet parlamentar.</w:t>
      </w:r>
    </w:p>
    <w:p w:rsidR="00446B05" w:rsidRDefault="00446B05" w:rsidP="00446B05">
      <w:pPr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sz w:val="24"/>
          <w:szCs w:val="24"/>
          <w:lang w:val="da-DK"/>
        </w:rPr>
        <w:t xml:space="preserve">Gjatë viti 2017 janë </w:t>
      </w:r>
      <w:r w:rsidR="007B16A7">
        <w:rPr>
          <w:rFonts w:ascii="Times New Roman" w:hAnsi="Times New Roman" w:cs="Times New Roman"/>
          <w:sz w:val="24"/>
          <w:szCs w:val="24"/>
          <w:lang w:val="da-DK"/>
        </w:rPr>
        <w:t>kryer r</w:t>
      </w:r>
      <w:r w:rsidRPr="00FB279B">
        <w:rPr>
          <w:rFonts w:ascii="Times New Roman" w:hAnsi="Times New Roman" w:cs="Times New Roman"/>
          <w:sz w:val="24"/>
          <w:szCs w:val="24"/>
          <w:lang w:val="da-DK"/>
        </w:rPr>
        <w:t>reth 95 udhëtime, në të cilat kanë udhëtuar 79 vetë (staf politik dhe administrativ) dhe rreth 131 deputetë</w:t>
      </w:r>
      <w:r w:rsidR="007B16A7">
        <w:rPr>
          <w:rFonts w:ascii="Times New Roman" w:hAnsi="Times New Roman" w:cs="Times New Roman"/>
          <w:sz w:val="24"/>
          <w:szCs w:val="24"/>
          <w:lang w:val="da-DK"/>
        </w:rPr>
        <w:t xml:space="preserve"> gjë që tregon për një numër të ulët të përbërjes së delegacioneve  (mesatarisht 2 vetë në një udhëtim)</w:t>
      </w:r>
      <w:r w:rsidRPr="00FB279B">
        <w:rPr>
          <w:rFonts w:ascii="Times New Roman" w:hAnsi="Times New Roman" w:cs="Times New Roman"/>
          <w:sz w:val="24"/>
          <w:szCs w:val="24"/>
          <w:lang w:val="da-DK"/>
        </w:rPr>
        <w:t xml:space="preserve">. </w:t>
      </w:r>
    </w:p>
    <w:p w:rsidR="00974AD1" w:rsidRPr="00FB279B" w:rsidRDefault="00974AD1" w:rsidP="00446B05">
      <w:pPr>
        <w:jc w:val="both"/>
        <w:rPr>
          <w:rFonts w:ascii="Times New Roman" w:hAnsi="Times New Roman" w:cs="Times New Roman"/>
          <w:sz w:val="24"/>
          <w:szCs w:val="24"/>
          <w:lang w:val="da-DK"/>
        </w:rPr>
      </w:pPr>
    </w:p>
    <w:p w:rsidR="00446B05" w:rsidRPr="00FB279B" w:rsidRDefault="00446B05" w:rsidP="00446B05">
      <w:pPr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sz w:val="24"/>
          <w:szCs w:val="24"/>
          <w:lang w:val="da-DK"/>
        </w:rPr>
        <w:t>Paraqitja krahasuese e këture shpenzimeve në vite jepen në grafik:</w:t>
      </w:r>
    </w:p>
    <w:p w:rsidR="00446B05" w:rsidRPr="00FB279B" w:rsidRDefault="00446B05" w:rsidP="00446B05">
      <w:pPr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drawing>
          <wp:inline distT="0" distB="0" distL="0" distR="0" wp14:anchorId="18F671FB" wp14:editId="417F6DB2">
            <wp:extent cx="5577840" cy="2714625"/>
            <wp:effectExtent l="0" t="0" r="3810" b="9525"/>
            <wp:docPr id="44" name="Chart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46B05" w:rsidRPr="00FB279B" w:rsidRDefault="00446B05" w:rsidP="00446B05">
      <w:pPr>
        <w:jc w:val="both"/>
        <w:rPr>
          <w:rFonts w:ascii="Times New Roman" w:hAnsi="Times New Roman" w:cs="Times New Roman"/>
          <w:sz w:val="24"/>
          <w:szCs w:val="24"/>
          <w:lang w:val="da-DK"/>
        </w:rPr>
      </w:pPr>
    </w:p>
    <w:p w:rsidR="00446B05" w:rsidRPr="00FB279B" w:rsidRDefault="00446B05" w:rsidP="002149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279B">
        <w:rPr>
          <w:rFonts w:ascii="Times New Roman" w:hAnsi="Times New Roman" w:cs="Times New Roman"/>
          <w:sz w:val="24"/>
          <w:szCs w:val="24"/>
          <w:lang w:val="da-DK"/>
        </w:rPr>
        <w:t>Shpenzimet për dieta, akomodim dhe të tjera janë kryer konform vkm nr.</w:t>
      </w:r>
      <w:r w:rsidRPr="00FB279B">
        <w:rPr>
          <w:rFonts w:ascii="Times New Roman" w:hAnsi="Times New Roman" w:cs="Times New Roman"/>
          <w:bCs/>
          <w:sz w:val="24"/>
          <w:szCs w:val="24"/>
        </w:rPr>
        <w:t>870 datë 14.12.2011</w:t>
      </w:r>
    </w:p>
    <w:p w:rsidR="00446B05" w:rsidRDefault="00446B05" w:rsidP="002149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279B">
        <w:rPr>
          <w:rFonts w:ascii="Times New Roman" w:hAnsi="Times New Roman" w:cs="Times New Roman"/>
          <w:bCs/>
          <w:sz w:val="24"/>
          <w:szCs w:val="24"/>
        </w:rPr>
        <w:t>“Për trajtimin financiar të punonjësve që dërgohen me shërbim jashtë vendit”.</w:t>
      </w:r>
    </w:p>
    <w:p w:rsidR="00446B05" w:rsidRPr="00FB279B" w:rsidRDefault="00446B05" w:rsidP="002149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6B05" w:rsidRPr="00FB279B" w:rsidRDefault="00446B05" w:rsidP="002149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279B">
        <w:rPr>
          <w:rFonts w:ascii="Times New Roman" w:hAnsi="Times New Roman" w:cs="Times New Roman"/>
          <w:bCs/>
          <w:sz w:val="24"/>
          <w:szCs w:val="24"/>
        </w:rPr>
        <w:t>Për mirëmenaxhimin e këtyre shpenzimeve, Byroja e Kuvendit ka miratuar rregulloren “Për udhëtimet ndërkombëtare” e cila ka parashikuar dhe rregullat kur shpenzimet për jashtë shteti mbulohen nga buxheti i shtetit apo nga vetë punonjësi apo deputeti.</w:t>
      </w:r>
    </w:p>
    <w:p w:rsidR="00974AD1" w:rsidRPr="00FB279B" w:rsidRDefault="00974AD1" w:rsidP="00214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6B05" w:rsidRPr="00FB279B" w:rsidRDefault="00446B05" w:rsidP="00446B0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i/>
          <w:sz w:val="24"/>
          <w:szCs w:val="24"/>
          <w:lang w:val="da-DK"/>
        </w:rPr>
        <w:t>Shpenzimet për kuotat parlamentare</w:t>
      </w:r>
      <w:r w:rsidRPr="00FB279B">
        <w:rPr>
          <w:rFonts w:ascii="Times New Roman" w:hAnsi="Times New Roman" w:cs="Times New Roman"/>
          <w:sz w:val="24"/>
          <w:szCs w:val="24"/>
          <w:lang w:val="da-DK"/>
        </w:rPr>
        <w:t xml:space="preserve">, janë realizuar në masën 100%. </w:t>
      </w:r>
    </w:p>
    <w:tbl>
      <w:tblPr>
        <w:tblW w:w="8908" w:type="dxa"/>
        <w:tblLook w:val="04A0" w:firstRow="1" w:lastRow="0" w:firstColumn="1" w:lastColumn="0" w:noHBand="0" w:noVBand="1"/>
      </w:tblPr>
      <w:tblGrid>
        <w:gridCol w:w="817"/>
        <w:gridCol w:w="6387"/>
        <w:gridCol w:w="1704"/>
      </w:tblGrid>
      <w:tr w:rsidR="00446B05" w:rsidRPr="00FB279B" w:rsidTr="00974AD1">
        <w:trPr>
          <w:trHeight w:val="259"/>
        </w:trPr>
        <w:tc>
          <w:tcPr>
            <w:tcW w:w="817" w:type="dxa"/>
            <w:tcBorders>
              <w:top w:val="double" w:sz="6" w:space="0" w:color="auto"/>
              <w:left w:val="double" w:sz="6" w:space="0" w:color="auto"/>
              <w:bottom w:val="nil"/>
              <w:right w:val="dotted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  <w:t>Nr.</w:t>
            </w:r>
          </w:p>
        </w:tc>
        <w:tc>
          <w:tcPr>
            <w:tcW w:w="6387" w:type="dxa"/>
            <w:vMerge w:val="restart"/>
            <w:tcBorders>
              <w:top w:val="double" w:sz="6" w:space="0" w:color="auto"/>
              <w:left w:val="nil"/>
              <w:right w:val="dotted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  <w:t xml:space="preserve">                  </w:t>
            </w:r>
          </w:p>
          <w:p w:rsidR="00446B05" w:rsidRPr="00FB279B" w:rsidRDefault="008406F1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  <w:t xml:space="preserve">     </w:t>
            </w:r>
            <w:r w:rsidR="00446B05" w:rsidRPr="00FB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  <w:t>Institucionit/Organizates t</w:t>
            </w:r>
            <w:r w:rsidR="007509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  <w:t>ë</w:t>
            </w:r>
            <w:r w:rsidR="00446B05" w:rsidRPr="00FB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  <w:t xml:space="preserve"> cilit i akordohet transferta</w:t>
            </w:r>
          </w:p>
          <w:p w:rsidR="00446B05" w:rsidRPr="00FB279B" w:rsidRDefault="00446B05" w:rsidP="00C4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  <w:t>   </w:t>
            </w:r>
          </w:p>
        </w:tc>
        <w:tc>
          <w:tcPr>
            <w:tcW w:w="170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  <w:t>Realizimi viti 2017</w:t>
            </w:r>
          </w:p>
        </w:tc>
      </w:tr>
      <w:tr w:rsidR="00446B05" w:rsidRPr="00FB279B" w:rsidTr="00974AD1">
        <w:trPr>
          <w:trHeight w:val="185"/>
        </w:trPr>
        <w:tc>
          <w:tcPr>
            <w:tcW w:w="817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FFFFFF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387" w:type="dxa"/>
            <w:vMerge/>
            <w:tcBorders>
              <w:left w:val="nil"/>
              <w:bottom w:val="double" w:sz="6" w:space="0" w:color="auto"/>
              <w:right w:val="dotted" w:sz="4" w:space="0" w:color="auto"/>
            </w:tcBorders>
            <w:shd w:val="clear" w:color="FFFFFF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FFFFFF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  <w:t xml:space="preserve">në </w:t>
            </w:r>
            <w:r w:rsidR="007B16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  <w:t xml:space="preserve">mln </w:t>
            </w:r>
            <w:r w:rsidRPr="00FB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  <w:t>lekë</w:t>
            </w:r>
          </w:p>
        </w:tc>
      </w:tr>
      <w:tr w:rsidR="00446B05" w:rsidRPr="00FB279B" w:rsidTr="00974AD1">
        <w:trPr>
          <w:trHeight w:val="274"/>
        </w:trPr>
        <w:tc>
          <w:tcPr>
            <w:tcW w:w="817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  <w:t>a</w:t>
            </w:r>
          </w:p>
        </w:tc>
        <w:tc>
          <w:tcPr>
            <w:tcW w:w="6387" w:type="dxa"/>
            <w:tcBorders>
              <w:top w:val="double" w:sz="6" w:space="0" w:color="auto"/>
              <w:left w:val="nil"/>
              <w:bottom w:val="double" w:sz="6" w:space="0" w:color="auto"/>
              <w:right w:val="dotted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  <w:t>b</w:t>
            </w:r>
          </w:p>
        </w:tc>
        <w:tc>
          <w:tcPr>
            <w:tcW w:w="170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q-AL"/>
              </w:rPr>
              <w:t>1</w:t>
            </w:r>
          </w:p>
        </w:tc>
      </w:tr>
      <w:tr w:rsidR="00446B05" w:rsidRPr="00FB279B" w:rsidTr="00974AD1">
        <w:trPr>
          <w:trHeight w:val="259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38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75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q-AL"/>
              </w:rPr>
              <w:t>Sh</w:t>
            </w:r>
            <w:r w:rsidR="00750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q-AL"/>
              </w:rPr>
              <w:t>ë</w:t>
            </w:r>
            <w:r w:rsidRPr="00FB27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q-AL"/>
              </w:rPr>
              <w:t>rbimi Legjislativ</w:t>
            </w:r>
          </w:p>
        </w:tc>
        <w:tc>
          <w:tcPr>
            <w:tcW w:w="170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 </w:t>
            </w:r>
          </w:p>
        </w:tc>
      </w:tr>
      <w:tr w:rsidR="00446B05" w:rsidRPr="00FB279B" w:rsidTr="00974AD1">
        <w:trPr>
          <w:trHeight w:val="302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1</w:t>
            </w:r>
          </w:p>
        </w:tc>
        <w:tc>
          <w:tcPr>
            <w:tcW w:w="638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Antlantiku Verior ( PAM )</w:t>
            </w:r>
          </w:p>
        </w:tc>
        <w:tc>
          <w:tcPr>
            <w:tcW w:w="170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7B1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1.</w:t>
            </w:r>
            <w:r w:rsidR="007B16A7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5</w:t>
            </w:r>
          </w:p>
        </w:tc>
      </w:tr>
      <w:tr w:rsidR="00446B05" w:rsidRPr="00FB279B" w:rsidTr="00974AD1">
        <w:trPr>
          <w:trHeight w:val="302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2</w:t>
            </w:r>
          </w:p>
        </w:tc>
        <w:tc>
          <w:tcPr>
            <w:tcW w:w="638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OSBE</w:t>
            </w:r>
          </w:p>
        </w:tc>
        <w:tc>
          <w:tcPr>
            <w:tcW w:w="170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7B16A7" w:rsidP="007B1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0.5</w:t>
            </w:r>
          </w:p>
        </w:tc>
      </w:tr>
      <w:tr w:rsidR="00446B05" w:rsidRPr="00FB279B" w:rsidTr="00974AD1">
        <w:trPr>
          <w:trHeight w:val="302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3</w:t>
            </w:r>
          </w:p>
        </w:tc>
        <w:tc>
          <w:tcPr>
            <w:tcW w:w="638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Unioni Nderparlamentar (IPU)</w:t>
            </w:r>
          </w:p>
        </w:tc>
        <w:tc>
          <w:tcPr>
            <w:tcW w:w="170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7B1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1.</w:t>
            </w:r>
            <w:r w:rsidR="007B16A7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4</w:t>
            </w:r>
          </w:p>
        </w:tc>
      </w:tr>
      <w:tr w:rsidR="00446B05" w:rsidRPr="00FB279B" w:rsidTr="00974AD1">
        <w:trPr>
          <w:trHeight w:val="302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4</w:t>
            </w:r>
          </w:p>
        </w:tc>
        <w:tc>
          <w:tcPr>
            <w:tcW w:w="638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PABSEC</w:t>
            </w:r>
          </w:p>
        </w:tc>
        <w:tc>
          <w:tcPr>
            <w:tcW w:w="170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7B1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8.</w:t>
            </w:r>
            <w:r w:rsidR="007B16A7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5</w:t>
            </w:r>
          </w:p>
        </w:tc>
      </w:tr>
      <w:tr w:rsidR="00446B05" w:rsidRPr="00FB279B" w:rsidTr="00974AD1">
        <w:trPr>
          <w:trHeight w:val="302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lastRenderedPageBreak/>
              <w:t>5</w:t>
            </w:r>
          </w:p>
        </w:tc>
        <w:tc>
          <w:tcPr>
            <w:tcW w:w="638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Asambleja Parlamentare e Frankofonise (AIPLE)</w:t>
            </w:r>
          </w:p>
        </w:tc>
        <w:tc>
          <w:tcPr>
            <w:tcW w:w="170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7B16A7" w:rsidP="007B1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0.4</w:t>
            </w:r>
          </w:p>
        </w:tc>
      </w:tr>
      <w:tr w:rsidR="00446B05" w:rsidRPr="00FB279B" w:rsidTr="00974AD1">
        <w:trPr>
          <w:trHeight w:val="302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6</w:t>
            </w:r>
          </w:p>
        </w:tc>
        <w:tc>
          <w:tcPr>
            <w:tcW w:w="638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Grupi 12+ dhe Shoqata e Sekretareve te Pergjithshem</w:t>
            </w:r>
          </w:p>
        </w:tc>
        <w:tc>
          <w:tcPr>
            <w:tcW w:w="170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7B16A7" w:rsidP="007B1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0.1</w:t>
            </w:r>
          </w:p>
        </w:tc>
      </w:tr>
      <w:tr w:rsidR="00446B05" w:rsidRPr="00FB279B" w:rsidTr="00974AD1">
        <w:trPr>
          <w:trHeight w:val="302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7</w:t>
            </w:r>
          </w:p>
        </w:tc>
        <w:tc>
          <w:tcPr>
            <w:tcW w:w="638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NATO</w:t>
            </w:r>
          </w:p>
        </w:tc>
        <w:tc>
          <w:tcPr>
            <w:tcW w:w="170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214958" w:rsidP="007B1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0.5</w:t>
            </w:r>
          </w:p>
        </w:tc>
      </w:tr>
      <w:tr w:rsidR="00446B05" w:rsidRPr="00FB279B" w:rsidTr="00750954">
        <w:trPr>
          <w:trHeight w:val="307"/>
        </w:trPr>
        <w:tc>
          <w:tcPr>
            <w:tcW w:w="817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8</w:t>
            </w:r>
          </w:p>
        </w:tc>
        <w:tc>
          <w:tcPr>
            <w:tcW w:w="638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membership fee në  Arkivat Ndërkombëtare</w:t>
            </w:r>
          </w:p>
        </w:tc>
        <w:tc>
          <w:tcPr>
            <w:tcW w:w="170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7B16A7" w:rsidP="007B1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0.02</w:t>
            </w:r>
          </w:p>
        </w:tc>
      </w:tr>
      <w:tr w:rsidR="00446B05" w:rsidRPr="00FB279B" w:rsidTr="00974AD1">
        <w:trPr>
          <w:trHeight w:val="317"/>
        </w:trPr>
        <w:tc>
          <w:tcPr>
            <w:tcW w:w="817" w:type="dxa"/>
            <w:tcBorders>
              <w:top w:val="nil"/>
              <w:left w:val="double" w:sz="6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9</w:t>
            </w:r>
          </w:p>
        </w:tc>
        <w:tc>
          <w:tcPr>
            <w:tcW w:w="6387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Federata Nderkombetare e bibliotekave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FFFFFF" w:fill="FFFFFF"/>
            <w:noWrap/>
            <w:vAlign w:val="bottom"/>
            <w:hideMark/>
          </w:tcPr>
          <w:p w:rsidR="00446B05" w:rsidRPr="00FB279B" w:rsidRDefault="00214958" w:rsidP="00214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0.07</w:t>
            </w:r>
          </w:p>
        </w:tc>
      </w:tr>
      <w:tr w:rsidR="00446B05" w:rsidRPr="00FB279B" w:rsidTr="00974AD1">
        <w:trPr>
          <w:trHeight w:val="331"/>
        </w:trPr>
        <w:tc>
          <w:tcPr>
            <w:tcW w:w="8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387" w:type="dxa"/>
            <w:tcBorders>
              <w:top w:val="double" w:sz="6" w:space="0" w:color="auto"/>
              <w:left w:val="nil"/>
              <w:bottom w:val="double" w:sz="6" w:space="0" w:color="auto"/>
              <w:right w:val="dotted" w:sz="4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446B05" w:rsidP="00CA2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q-AL"/>
              </w:rPr>
              <w:t>Totali:</w:t>
            </w:r>
          </w:p>
        </w:tc>
        <w:tc>
          <w:tcPr>
            <w:tcW w:w="1704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DCDB"/>
            <w:noWrap/>
            <w:vAlign w:val="bottom"/>
            <w:hideMark/>
          </w:tcPr>
          <w:p w:rsidR="00446B05" w:rsidRPr="00FB279B" w:rsidRDefault="00214958" w:rsidP="002149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q-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q-AL"/>
              </w:rPr>
              <w:t>12,99</w:t>
            </w:r>
          </w:p>
        </w:tc>
      </w:tr>
    </w:tbl>
    <w:p w:rsidR="00446B05" w:rsidRPr="00FB279B" w:rsidRDefault="00446B05" w:rsidP="00446B05">
      <w:pPr>
        <w:ind w:left="-567"/>
        <w:jc w:val="both"/>
        <w:rPr>
          <w:rFonts w:ascii="Times New Roman" w:hAnsi="Times New Roman" w:cs="Times New Roman"/>
          <w:sz w:val="24"/>
          <w:szCs w:val="24"/>
          <w:lang w:val="da-DK"/>
        </w:rPr>
      </w:pPr>
    </w:p>
    <w:p w:rsidR="00446B05" w:rsidRPr="00FB279B" w:rsidRDefault="00446B05" w:rsidP="00446B05">
      <w:pPr>
        <w:pStyle w:val="ListParagraph"/>
        <w:numPr>
          <w:ilvl w:val="0"/>
          <w:numId w:val="9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i/>
          <w:sz w:val="24"/>
          <w:szCs w:val="24"/>
          <w:lang w:val="da-DK"/>
        </w:rPr>
        <w:t>Shpenzime për mirëmbajtje (mirëmbajtje zyra, autovetura, sisteme elektronike e të tjera pajisje zyrash)</w:t>
      </w:r>
      <w:r w:rsidR="00750954">
        <w:rPr>
          <w:rFonts w:ascii="Times New Roman" w:hAnsi="Times New Roman" w:cs="Times New Roman"/>
          <w:sz w:val="24"/>
          <w:szCs w:val="24"/>
          <w:lang w:val="da-DK"/>
        </w:rPr>
        <w:t xml:space="preserve"> zënë</w:t>
      </w:r>
      <w:r w:rsidRPr="00FB279B">
        <w:rPr>
          <w:rFonts w:ascii="Times New Roman" w:hAnsi="Times New Roman" w:cs="Times New Roman"/>
          <w:sz w:val="24"/>
          <w:szCs w:val="24"/>
          <w:lang w:val="da-DK"/>
        </w:rPr>
        <w:t xml:space="preserve"> një peshë specifike të konsiderueshme në totalin e shpenzimeve të funksionimit. Realizimi faktik për vitin 2017 paraqitet 74.8 %. Arsyet e mospërdorimit 100% të fondit të planifikuar janë:</w:t>
      </w:r>
    </w:p>
    <w:p w:rsidR="00446B05" w:rsidRPr="00FB279B" w:rsidRDefault="00446B05" w:rsidP="00446B05">
      <w:pPr>
        <w:pStyle w:val="ListParagraph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sz w:val="24"/>
          <w:szCs w:val="24"/>
          <w:lang w:val="da-DK"/>
        </w:rPr>
        <w:t xml:space="preserve">-afatet e procedurave të prokurimit deri në lidhjen e kontratës, periudhë në të cilën nuk merret shërbimi </w:t>
      </w:r>
    </w:p>
    <w:p w:rsidR="00446B05" w:rsidRDefault="00446B05" w:rsidP="00446B05">
      <w:pPr>
        <w:pStyle w:val="ListParagraph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sz w:val="24"/>
          <w:szCs w:val="24"/>
          <w:lang w:val="da-DK"/>
        </w:rPr>
        <w:t xml:space="preserve">-si rezultat i konkurencës në procedurat e prokurimit, kontrata ofertat fituese kanë qënë më të ulëta sesa fondi limit i planifikuar. </w:t>
      </w:r>
    </w:p>
    <w:p w:rsidR="008406F1" w:rsidRPr="00FB279B" w:rsidRDefault="008406F1" w:rsidP="00446B05">
      <w:pPr>
        <w:pStyle w:val="ListParagraph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a-DK"/>
        </w:rPr>
      </w:pPr>
    </w:p>
    <w:p w:rsidR="00446B05" w:rsidRPr="00FB279B" w:rsidRDefault="00446B05" w:rsidP="00446B05">
      <w:pPr>
        <w:pStyle w:val="ListParagraph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a-DK"/>
        </w:rPr>
      </w:pPr>
    </w:p>
    <w:p w:rsidR="00446B05" w:rsidRPr="00FB279B" w:rsidRDefault="00446B05" w:rsidP="00446B05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drawing>
          <wp:inline distT="0" distB="0" distL="0" distR="0" wp14:anchorId="50A01264" wp14:editId="27EE602B">
            <wp:extent cx="5631180" cy="2562225"/>
            <wp:effectExtent l="0" t="0" r="7620" b="9525"/>
            <wp:docPr id="45" name="Chart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46B05" w:rsidRPr="00FB279B" w:rsidRDefault="00446B05" w:rsidP="00446B05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a-DK"/>
        </w:rPr>
      </w:pPr>
    </w:p>
    <w:p w:rsidR="00C40D50" w:rsidRDefault="00C40D50" w:rsidP="00446B05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a-DK"/>
        </w:rPr>
      </w:pPr>
    </w:p>
    <w:p w:rsidR="00446B05" w:rsidRPr="00FB279B" w:rsidRDefault="00446B05" w:rsidP="000A0629">
      <w:pPr>
        <w:pStyle w:val="ListParagraph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sz w:val="24"/>
          <w:szCs w:val="24"/>
          <w:lang w:val="da-DK"/>
        </w:rPr>
        <w:t xml:space="preserve">Shërbimet e mirëmbajtjes janë kryesisht shërbime të planifikuara të cilat synojnë minimizimin e </w:t>
      </w:r>
      <w:r w:rsidRPr="00FB279B">
        <w:rPr>
          <w:rFonts w:ascii="Times New Roman" w:hAnsi="Times New Roman" w:cs="Times New Roman"/>
          <w:color w:val="000000" w:themeColor="text1"/>
          <w:sz w:val="24"/>
          <w:szCs w:val="24"/>
          <w:lang w:val="da-DK"/>
        </w:rPr>
        <w:t xml:space="preserve">avarive, shtimin e jetëgjatësisë së pajisjeve dhe sistemeve, dhe për të siguruar përdorimin sa më efiçient të tyre, duke i orientuar shpenzimet drejt punës parandaluese për mirëmbajtje sesa shpenzimeve për riparime. </w:t>
      </w:r>
    </w:p>
    <w:p w:rsidR="00446B05" w:rsidRPr="00FB279B" w:rsidRDefault="00446B05" w:rsidP="000A0629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da-DK"/>
        </w:rPr>
      </w:pPr>
    </w:p>
    <w:p w:rsidR="00446B05" w:rsidRDefault="00446B05" w:rsidP="000A0629">
      <w:pPr>
        <w:pStyle w:val="ListParagraph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i/>
          <w:sz w:val="24"/>
          <w:szCs w:val="24"/>
          <w:lang w:val="da-DK"/>
        </w:rPr>
        <w:t>Shpenzime utilitare</w:t>
      </w:r>
      <w:r w:rsidRPr="00FB279B">
        <w:rPr>
          <w:rFonts w:ascii="Times New Roman" w:hAnsi="Times New Roman" w:cs="Times New Roman"/>
          <w:sz w:val="24"/>
          <w:szCs w:val="24"/>
          <w:lang w:val="da-DK"/>
        </w:rPr>
        <w:t>. Janë realizuar në masën 74%. Kjo si rezultat i konsumit më të ulët të energjisë dhe ujit, por dhe të shpenzimeve telefonike. Gjithashtu, gjatë vitit 2017, Kuvendi i Shqipërisë nuk ka nënshkruar kontrata me operatorë të telefonisë celulare, duke mos përdorur kështu fonde buxhetore për mbulimin e shpenzimeve telefonike për ato drejtues që përfitojnë nga buxheti i shtetit.</w:t>
      </w:r>
    </w:p>
    <w:p w:rsidR="00750954" w:rsidRPr="00FB279B" w:rsidRDefault="00750954" w:rsidP="00750954">
      <w:pPr>
        <w:pStyle w:val="ListParagraph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  <w:lang w:val="da-DK"/>
        </w:rPr>
      </w:pPr>
    </w:p>
    <w:p w:rsidR="00446B05" w:rsidRPr="00FB279B" w:rsidRDefault="00446B05" w:rsidP="00446B05">
      <w:pPr>
        <w:pStyle w:val="ListParagraph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i/>
          <w:sz w:val="24"/>
          <w:szCs w:val="24"/>
          <w:lang w:val="da-DK"/>
        </w:rPr>
        <w:t>Shpenzime për pritje delegacione të huaja</w:t>
      </w:r>
      <w:r w:rsidRPr="00FB279B">
        <w:rPr>
          <w:rFonts w:ascii="Times New Roman" w:hAnsi="Times New Roman" w:cs="Times New Roman"/>
          <w:b/>
          <w:i/>
          <w:sz w:val="24"/>
          <w:szCs w:val="24"/>
          <w:u w:val="single"/>
          <w:lang w:val="da-DK"/>
        </w:rPr>
        <w:t xml:space="preserve">     </w:t>
      </w:r>
    </w:p>
    <w:p w:rsidR="00446B05" w:rsidRDefault="00446B05" w:rsidP="00446B05">
      <w:pPr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sz w:val="24"/>
          <w:szCs w:val="24"/>
          <w:lang w:val="da-DK"/>
        </w:rPr>
        <w:t>Realizimi vjetor 2017 i këtij grupi shpenzimesh rezulton 41 %.</w:t>
      </w:r>
    </w:p>
    <w:p w:rsidR="00446B05" w:rsidRDefault="00446B05" w:rsidP="00446B05">
      <w:pPr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FB279B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7EEC234A" wp14:editId="4412CDA3">
            <wp:extent cx="4067175" cy="2738120"/>
            <wp:effectExtent l="0" t="0" r="9525" b="5080"/>
            <wp:docPr id="46" name="Chart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14AB6" w:rsidRPr="00FB279B" w:rsidRDefault="00514AB6" w:rsidP="00446B05">
      <w:pPr>
        <w:jc w:val="both"/>
        <w:rPr>
          <w:rFonts w:ascii="Times New Roman" w:hAnsi="Times New Roman" w:cs="Times New Roman"/>
          <w:sz w:val="24"/>
          <w:szCs w:val="24"/>
          <w:lang w:val="da-DK"/>
        </w:rPr>
      </w:pPr>
    </w:p>
    <w:p w:rsidR="00446B05" w:rsidRPr="00FB279B" w:rsidRDefault="00446B05" w:rsidP="004214A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B279B">
        <w:rPr>
          <w:rFonts w:ascii="Times New Roman" w:hAnsi="Times New Roman" w:cs="Times New Roman"/>
          <w:sz w:val="24"/>
          <w:szCs w:val="24"/>
          <w:lang w:val="it-IT"/>
        </w:rPr>
        <w:t>Planifikimi këtyre shpenzimeve bëhet nga shërbimi përkatës duke patur parasysh trendin e viteve të mëparshme dhe mbi një axhendë që nuk është plotësisht e konfirmuar. Viti 2017 ishte vit elektoral dhe për një periudhë 3-4 mujore nuk ka patur fluks aktivitetesh pritëse.</w:t>
      </w:r>
    </w:p>
    <w:p w:rsidR="00446B05" w:rsidRPr="00FB279B" w:rsidRDefault="00446B05" w:rsidP="004214A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B279B">
        <w:rPr>
          <w:rFonts w:ascii="Times New Roman" w:hAnsi="Times New Roman" w:cs="Times New Roman"/>
          <w:sz w:val="24"/>
          <w:szCs w:val="24"/>
          <w:lang w:val="it-IT"/>
        </w:rPr>
        <w:t xml:space="preserve">Menaxhimi i këtyre shpenzimeve bëhet duke miratuar paraprakisht programin e vizitës, protokollin zyrtar, kuotat e përcaktuara në </w:t>
      </w:r>
      <w:r w:rsidR="00214958">
        <w:rPr>
          <w:rFonts w:ascii="Times New Roman" w:hAnsi="Times New Roman" w:cs="Times New Roman"/>
          <w:sz w:val="24"/>
          <w:szCs w:val="24"/>
          <w:lang w:val="it-IT"/>
        </w:rPr>
        <w:t xml:space="preserve">vkm </w:t>
      </w:r>
      <w:r w:rsidRPr="00FB279B">
        <w:rPr>
          <w:rFonts w:ascii="Times New Roman" w:hAnsi="Times New Roman" w:cs="Times New Roman"/>
          <w:sz w:val="24"/>
          <w:szCs w:val="24"/>
          <w:lang w:val="it-IT"/>
        </w:rPr>
        <w:t>për numrin dhe vlerat  për person të shpenzimeve, etj.</w:t>
      </w:r>
    </w:p>
    <w:p w:rsidR="007E1E27" w:rsidRDefault="007E1E27" w:rsidP="007E1E27">
      <w:pPr>
        <w:jc w:val="both"/>
        <w:rPr>
          <w:rFonts w:ascii="Times New Roman" w:hAnsi="Times New Roman" w:cs="Times New Roman"/>
          <w:b/>
          <w:sz w:val="26"/>
          <w:szCs w:val="26"/>
          <w:u w:val="single"/>
          <w:lang w:val="it-IT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it-IT"/>
        </w:rPr>
        <w:t>Investimet kapitale</w:t>
      </w:r>
    </w:p>
    <w:p w:rsidR="00446B05" w:rsidRDefault="00446B05" w:rsidP="007E1E2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79B">
        <w:rPr>
          <w:rFonts w:ascii="Times New Roman" w:hAnsi="Times New Roman" w:cs="Times New Roman"/>
          <w:color w:val="000000"/>
          <w:sz w:val="24"/>
          <w:szCs w:val="24"/>
        </w:rPr>
        <w:t>Gjatë vitit 2017 investimet janë realizuar në masën 76.01% sipas projekteve të paraqitura në tabelë:</w:t>
      </w:r>
    </w:p>
    <w:p w:rsidR="00214958" w:rsidRPr="007E1E27" w:rsidRDefault="00214958" w:rsidP="007E1E27">
      <w:pPr>
        <w:jc w:val="both"/>
        <w:rPr>
          <w:rFonts w:ascii="Times New Roman" w:hAnsi="Times New Roman" w:cs="Times New Roman"/>
          <w:b/>
          <w:sz w:val="26"/>
          <w:szCs w:val="26"/>
          <w:u w:val="single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 Ne lekë</w:t>
      </w:r>
    </w:p>
    <w:tbl>
      <w:tblPr>
        <w:tblStyle w:val="GridTable1Light-Accent2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1559"/>
        <w:gridCol w:w="1559"/>
        <w:gridCol w:w="1559"/>
      </w:tblGrid>
      <w:tr w:rsidR="008825EB" w:rsidTr="002149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E5B8B7" w:themeFill="accent2" w:themeFillTint="66"/>
          </w:tcPr>
          <w:p w:rsidR="008825EB" w:rsidRPr="00FB279B" w:rsidRDefault="008825EB" w:rsidP="008825EB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EMERTIMI I PROJEKTEVE TE INVESTIMEVE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5B8B7" w:themeFill="accent2" w:themeFillTint="66"/>
          </w:tcPr>
          <w:p w:rsidR="008825EB" w:rsidRPr="00FB279B" w:rsidRDefault="008825EB" w:rsidP="008825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 L A 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5B8B7" w:themeFill="accent2" w:themeFillTint="66"/>
          </w:tcPr>
          <w:p w:rsidR="008825EB" w:rsidRPr="00FB279B" w:rsidRDefault="008825EB" w:rsidP="008825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 A K T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8825EB" w:rsidRPr="00FB279B" w:rsidRDefault="008825EB" w:rsidP="008825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REALIZIMI</w:t>
            </w:r>
          </w:p>
        </w:tc>
      </w:tr>
      <w:tr w:rsidR="008825EB" w:rsidTr="0021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left w:val="single" w:sz="4" w:space="0" w:color="auto"/>
            </w:tcBorders>
          </w:tcPr>
          <w:p w:rsidR="008825EB" w:rsidRPr="00FB279B" w:rsidRDefault="008825EB" w:rsidP="008825EB">
            <w:pP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40,659,007</w:t>
            </w:r>
          </w:p>
        </w:tc>
        <w:tc>
          <w:tcPr>
            <w:tcW w:w="1559" w:type="dxa"/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30,906,779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76.01%</w:t>
            </w:r>
          </w:p>
        </w:tc>
      </w:tr>
      <w:tr w:rsidR="007E1E27" w:rsidTr="0021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left w:val="single" w:sz="4" w:space="0" w:color="auto"/>
            </w:tcBorders>
          </w:tcPr>
          <w:p w:rsidR="008825EB" w:rsidRPr="00B26142" w:rsidRDefault="008825EB" w:rsidP="008825EB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B2614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/>
              </w:rPr>
              <w:t>Projekt p</w:t>
            </w:r>
            <w:r w:rsidRPr="00B26142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ë</w:t>
            </w:r>
            <w:r w:rsidRPr="00B2614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/>
              </w:rPr>
              <w:t>r investimin e mbrojtjes k/zjarrit n</w:t>
            </w:r>
            <w:r w:rsidRPr="00B26142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ë</w:t>
            </w:r>
            <w:r w:rsidRPr="00B2614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/>
              </w:rPr>
              <w:t xml:space="preserve"> Sall</w:t>
            </w:r>
            <w:r w:rsidRPr="00B26142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ë</w:t>
            </w:r>
            <w:r w:rsidRPr="00B2614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/>
              </w:rPr>
              <w:t>n e Seancave</w:t>
            </w:r>
          </w:p>
        </w:tc>
        <w:tc>
          <w:tcPr>
            <w:tcW w:w="1559" w:type="dxa"/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150,000</w:t>
            </w:r>
          </w:p>
        </w:tc>
        <w:tc>
          <w:tcPr>
            <w:tcW w:w="1559" w:type="dxa"/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84,000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56.00%</w:t>
            </w:r>
          </w:p>
        </w:tc>
      </w:tr>
      <w:tr w:rsidR="007E1E27" w:rsidTr="0021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left w:val="single" w:sz="4" w:space="0" w:color="auto"/>
            </w:tcBorders>
          </w:tcPr>
          <w:p w:rsidR="008825EB" w:rsidRPr="00B26142" w:rsidRDefault="008825EB" w:rsidP="008825E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B26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Rikonstruksion n</w:t>
            </w:r>
            <w:r w:rsidRPr="00B261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>ë</w:t>
            </w:r>
            <w:r w:rsidRPr="00B26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tarrac</w:t>
            </w:r>
            <w:r w:rsidRPr="00B261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>ë</w:t>
            </w:r>
            <w:r w:rsidRPr="00B26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n e Godin</w:t>
            </w:r>
            <w:r w:rsidRPr="00B261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>ë</w:t>
            </w:r>
            <w:r w:rsidRPr="00B26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s s</w:t>
            </w:r>
            <w:r w:rsidRPr="00B261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>ë</w:t>
            </w:r>
            <w:r w:rsidRPr="00B26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Sall</w:t>
            </w:r>
            <w:r w:rsidRPr="00B261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>ë</w:t>
            </w:r>
            <w:r w:rsidRPr="00B26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s s</w:t>
            </w:r>
            <w:r w:rsidRPr="00B261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>ë</w:t>
            </w:r>
            <w:r w:rsidRPr="00B26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Seancave</w:t>
            </w:r>
          </w:p>
        </w:tc>
        <w:tc>
          <w:tcPr>
            <w:tcW w:w="1559" w:type="dxa"/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3,787,104</w:t>
            </w:r>
          </w:p>
        </w:tc>
        <w:tc>
          <w:tcPr>
            <w:tcW w:w="1559" w:type="dxa"/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3,743,760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98.86%</w:t>
            </w:r>
          </w:p>
        </w:tc>
      </w:tr>
      <w:tr w:rsidR="007E1E27" w:rsidTr="0021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left w:val="single" w:sz="4" w:space="0" w:color="auto"/>
            </w:tcBorders>
          </w:tcPr>
          <w:p w:rsidR="008825EB" w:rsidRPr="00B26142" w:rsidRDefault="008825EB" w:rsidP="008825E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B26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Blerje Paisje</w:t>
            </w:r>
            <w:r w:rsidRPr="00B261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 xml:space="preserve"> për</w:t>
            </w:r>
            <w:r w:rsidRPr="00B26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 xml:space="preserve"> Kuvendin</w:t>
            </w:r>
          </w:p>
        </w:tc>
        <w:tc>
          <w:tcPr>
            <w:tcW w:w="1559" w:type="dxa"/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10,507,903</w:t>
            </w:r>
          </w:p>
        </w:tc>
        <w:tc>
          <w:tcPr>
            <w:tcW w:w="1559" w:type="dxa"/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7.671.781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73%</w:t>
            </w:r>
          </w:p>
        </w:tc>
      </w:tr>
      <w:tr w:rsidR="007E1E27" w:rsidTr="0021495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left w:val="single" w:sz="4" w:space="0" w:color="auto"/>
            </w:tcBorders>
          </w:tcPr>
          <w:p w:rsidR="008825EB" w:rsidRPr="00B26142" w:rsidRDefault="008825EB" w:rsidP="008825E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B261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>Blerje Autovetura</w:t>
            </w:r>
          </w:p>
        </w:tc>
        <w:tc>
          <w:tcPr>
            <w:tcW w:w="1559" w:type="dxa"/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10,550,000</w:t>
            </w:r>
          </w:p>
        </w:tc>
        <w:tc>
          <w:tcPr>
            <w:tcW w:w="1559" w:type="dxa"/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9,424,440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89.33%</w:t>
            </w:r>
          </w:p>
        </w:tc>
      </w:tr>
      <w:tr w:rsidR="007E1E27" w:rsidTr="00214958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left w:val="single" w:sz="4" w:space="0" w:color="auto"/>
            </w:tcBorders>
          </w:tcPr>
          <w:p w:rsidR="008825EB" w:rsidRPr="00B26142" w:rsidRDefault="008825EB" w:rsidP="008825E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B26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Projekti i rikonstruksionit t</w:t>
            </w:r>
            <w:r w:rsidRPr="00B261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>ë tarracë</w:t>
            </w:r>
            <w:r w:rsidRPr="00B26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1559" w:type="dxa"/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264,000</w:t>
            </w:r>
          </w:p>
        </w:tc>
        <w:tc>
          <w:tcPr>
            <w:tcW w:w="1559" w:type="dxa"/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264,000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100.00%</w:t>
            </w:r>
          </w:p>
        </w:tc>
      </w:tr>
      <w:tr w:rsidR="007E1E27" w:rsidTr="0021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left w:val="single" w:sz="4" w:space="0" w:color="auto"/>
            </w:tcBorders>
          </w:tcPr>
          <w:p w:rsidR="008825EB" w:rsidRPr="00B26142" w:rsidRDefault="008825EB" w:rsidP="008825E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B26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Sistem elektronik votimi p</w:t>
            </w:r>
            <w:r w:rsidRPr="00B261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>ë</w:t>
            </w:r>
            <w:r w:rsidRPr="00B26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r vettingun</w:t>
            </w:r>
          </w:p>
        </w:tc>
        <w:tc>
          <w:tcPr>
            <w:tcW w:w="1559" w:type="dxa"/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9,000,000</w:t>
            </w:r>
          </w:p>
        </w:tc>
        <w:tc>
          <w:tcPr>
            <w:tcW w:w="1559" w:type="dxa"/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9,000,000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100.00%</w:t>
            </w:r>
          </w:p>
        </w:tc>
      </w:tr>
      <w:tr w:rsidR="007E1E27" w:rsidTr="00214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left w:val="single" w:sz="4" w:space="0" w:color="auto"/>
            </w:tcBorders>
          </w:tcPr>
          <w:p w:rsidR="008825EB" w:rsidRPr="00B26142" w:rsidRDefault="008825EB" w:rsidP="008825EB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B2614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/>
              </w:rPr>
              <w:t>TVSH</w:t>
            </w:r>
            <w:r w:rsidRPr="00B26142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,</w:t>
            </w:r>
            <w:r w:rsidRPr="00B26142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/>
              </w:rPr>
              <w:t xml:space="preserve"> Projekti Audio Video ( IPA)</w:t>
            </w:r>
          </w:p>
        </w:tc>
        <w:tc>
          <w:tcPr>
            <w:tcW w:w="1559" w:type="dxa"/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5,600,000</w:t>
            </w:r>
          </w:p>
        </w:tc>
        <w:tc>
          <w:tcPr>
            <w:tcW w:w="1559" w:type="dxa"/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0.00%</w:t>
            </w:r>
          </w:p>
        </w:tc>
      </w:tr>
      <w:tr w:rsidR="008825EB" w:rsidTr="00214958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left w:val="single" w:sz="4" w:space="0" w:color="auto"/>
              <w:bottom w:val="single" w:sz="4" w:space="0" w:color="auto"/>
            </w:tcBorders>
          </w:tcPr>
          <w:p w:rsidR="008825EB" w:rsidRPr="00B26142" w:rsidRDefault="008825EB" w:rsidP="008825E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B26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K</w:t>
            </w:r>
            <w:r w:rsidRPr="00B261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>ë</w:t>
            </w:r>
            <w:r w:rsidRPr="00B261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nd Informimi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800,000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718.719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8825EB" w:rsidRPr="00FB279B" w:rsidRDefault="008825EB" w:rsidP="00882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B27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89.84%</w:t>
            </w:r>
          </w:p>
        </w:tc>
      </w:tr>
    </w:tbl>
    <w:p w:rsidR="00446B05" w:rsidRPr="00FB279B" w:rsidRDefault="00446B05" w:rsidP="00446B05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Realizimi në përqindje që paraqitet në tabelë paraqet raportin e realizimit të fondeve të cilat për shkak të procedurave të konkurimit janë më të ulëta se planifikimi, ndërsa realizimi i projekteve është kryer 100%. </w:t>
      </w:r>
    </w:p>
    <w:sectPr w:rsidR="00446B05" w:rsidRPr="00FB279B" w:rsidSect="007B16A7">
      <w:pgSz w:w="12240" w:h="15840"/>
      <w:pgMar w:top="709" w:right="900" w:bottom="1134" w:left="15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FDB" w:rsidRDefault="00960FDB" w:rsidP="00265C1E">
      <w:pPr>
        <w:spacing w:after="0" w:line="240" w:lineRule="auto"/>
      </w:pPr>
      <w:r>
        <w:separator/>
      </w:r>
    </w:p>
  </w:endnote>
  <w:endnote w:type="continuationSeparator" w:id="0">
    <w:p w:rsidR="00960FDB" w:rsidRDefault="00960FDB" w:rsidP="00265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FDB" w:rsidRDefault="00960FDB" w:rsidP="00265C1E">
      <w:pPr>
        <w:spacing w:after="0" w:line="240" w:lineRule="auto"/>
      </w:pPr>
      <w:r>
        <w:separator/>
      </w:r>
    </w:p>
  </w:footnote>
  <w:footnote w:type="continuationSeparator" w:id="0">
    <w:p w:rsidR="00960FDB" w:rsidRDefault="00960FDB" w:rsidP="00265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D756221"/>
    <w:multiLevelType w:val="hybridMultilevel"/>
    <w:tmpl w:val="127C8210"/>
    <w:lvl w:ilvl="0" w:tplc="041C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AF34AA"/>
    <w:multiLevelType w:val="hybridMultilevel"/>
    <w:tmpl w:val="1B8E745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853"/>
    <w:rsid w:val="0001041D"/>
    <w:rsid w:val="00011F80"/>
    <w:rsid w:val="00025785"/>
    <w:rsid w:val="000320BA"/>
    <w:rsid w:val="000516F1"/>
    <w:rsid w:val="00055712"/>
    <w:rsid w:val="00056836"/>
    <w:rsid w:val="0007759E"/>
    <w:rsid w:val="000824CB"/>
    <w:rsid w:val="00083466"/>
    <w:rsid w:val="000A0629"/>
    <w:rsid w:val="000A31B4"/>
    <w:rsid w:val="000A51E4"/>
    <w:rsid w:val="000B191C"/>
    <w:rsid w:val="000E6B9E"/>
    <w:rsid w:val="00101EE4"/>
    <w:rsid w:val="00103172"/>
    <w:rsid w:val="0011438A"/>
    <w:rsid w:val="00117385"/>
    <w:rsid w:val="001314B0"/>
    <w:rsid w:val="00165644"/>
    <w:rsid w:val="00174994"/>
    <w:rsid w:val="001C6AA4"/>
    <w:rsid w:val="001D410B"/>
    <w:rsid w:val="001D742F"/>
    <w:rsid w:val="001E7C68"/>
    <w:rsid w:val="001F667A"/>
    <w:rsid w:val="00205DDF"/>
    <w:rsid w:val="00214958"/>
    <w:rsid w:val="00217006"/>
    <w:rsid w:val="002333B5"/>
    <w:rsid w:val="00235745"/>
    <w:rsid w:val="0025394E"/>
    <w:rsid w:val="00257381"/>
    <w:rsid w:val="00264B88"/>
    <w:rsid w:val="00265C1E"/>
    <w:rsid w:val="00267603"/>
    <w:rsid w:val="00270D1F"/>
    <w:rsid w:val="00273136"/>
    <w:rsid w:val="00273AC0"/>
    <w:rsid w:val="00276A16"/>
    <w:rsid w:val="00285ED2"/>
    <w:rsid w:val="00296C81"/>
    <w:rsid w:val="002A7151"/>
    <w:rsid w:val="002B7803"/>
    <w:rsid w:val="002D5067"/>
    <w:rsid w:val="003010E4"/>
    <w:rsid w:val="00312712"/>
    <w:rsid w:val="003136EC"/>
    <w:rsid w:val="0032178E"/>
    <w:rsid w:val="00323A29"/>
    <w:rsid w:val="003360A2"/>
    <w:rsid w:val="00336EC0"/>
    <w:rsid w:val="00341F64"/>
    <w:rsid w:val="00343ABF"/>
    <w:rsid w:val="003614A1"/>
    <w:rsid w:val="00377150"/>
    <w:rsid w:val="00390208"/>
    <w:rsid w:val="003A1AF9"/>
    <w:rsid w:val="003A3F7E"/>
    <w:rsid w:val="003B3543"/>
    <w:rsid w:val="003C37A9"/>
    <w:rsid w:val="003D2C04"/>
    <w:rsid w:val="003F7CB8"/>
    <w:rsid w:val="00407522"/>
    <w:rsid w:val="004214A9"/>
    <w:rsid w:val="00424EEC"/>
    <w:rsid w:val="00432340"/>
    <w:rsid w:val="00446B05"/>
    <w:rsid w:val="00450CE8"/>
    <w:rsid w:val="00475796"/>
    <w:rsid w:val="004A7EE4"/>
    <w:rsid w:val="004B73A6"/>
    <w:rsid w:val="004C5B39"/>
    <w:rsid w:val="004D4788"/>
    <w:rsid w:val="004E117E"/>
    <w:rsid w:val="004F3ECF"/>
    <w:rsid w:val="004F6BB9"/>
    <w:rsid w:val="00514AB6"/>
    <w:rsid w:val="00521094"/>
    <w:rsid w:val="00524536"/>
    <w:rsid w:val="005303A3"/>
    <w:rsid w:val="0053580C"/>
    <w:rsid w:val="005442C9"/>
    <w:rsid w:val="005567C9"/>
    <w:rsid w:val="005734D3"/>
    <w:rsid w:val="00576B53"/>
    <w:rsid w:val="0057751E"/>
    <w:rsid w:val="00584682"/>
    <w:rsid w:val="005B0773"/>
    <w:rsid w:val="005C3B7C"/>
    <w:rsid w:val="005C7D00"/>
    <w:rsid w:val="005E2D72"/>
    <w:rsid w:val="005E4DAD"/>
    <w:rsid w:val="005E631E"/>
    <w:rsid w:val="00604C27"/>
    <w:rsid w:val="00606E12"/>
    <w:rsid w:val="00622104"/>
    <w:rsid w:val="006241BB"/>
    <w:rsid w:val="00625098"/>
    <w:rsid w:val="006434B2"/>
    <w:rsid w:val="00655206"/>
    <w:rsid w:val="006816A0"/>
    <w:rsid w:val="006932B4"/>
    <w:rsid w:val="00694EDC"/>
    <w:rsid w:val="00695FCA"/>
    <w:rsid w:val="006A20DE"/>
    <w:rsid w:val="006C29B4"/>
    <w:rsid w:val="0070198B"/>
    <w:rsid w:val="007107D4"/>
    <w:rsid w:val="00717B98"/>
    <w:rsid w:val="00750954"/>
    <w:rsid w:val="0075331F"/>
    <w:rsid w:val="007616C8"/>
    <w:rsid w:val="00770596"/>
    <w:rsid w:val="007927D7"/>
    <w:rsid w:val="00795F6A"/>
    <w:rsid w:val="007965B7"/>
    <w:rsid w:val="007B16A7"/>
    <w:rsid w:val="007C5AC2"/>
    <w:rsid w:val="007E0AAB"/>
    <w:rsid w:val="007E1E27"/>
    <w:rsid w:val="007E1FBB"/>
    <w:rsid w:val="007E784C"/>
    <w:rsid w:val="007F3BEC"/>
    <w:rsid w:val="007F484E"/>
    <w:rsid w:val="008365F5"/>
    <w:rsid w:val="008406F1"/>
    <w:rsid w:val="00870DED"/>
    <w:rsid w:val="00875D4D"/>
    <w:rsid w:val="008825EB"/>
    <w:rsid w:val="008914EA"/>
    <w:rsid w:val="00896EB9"/>
    <w:rsid w:val="00897949"/>
    <w:rsid w:val="008D4829"/>
    <w:rsid w:val="008E2DA4"/>
    <w:rsid w:val="008F5C3D"/>
    <w:rsid w:val="009209F0"/>
    <w:rsid w:val="00954EBE"/>
    <w:rsid w:val="0096052A"/>
    <w:rsid w:val="00960FDB"/>
    <w:rsid w:val="009621AE"/>
    <w:rsid w:val="00964C22"/>
    <w:rsid w:val="00974AD1"/>
    <w:rsid w:val="00977317"/>
    <w:rsid w:val="009836B9"/>
    <w:rsid w:val="0098495E"/>
    <w:rsid w:val="009A3958"/>
    <w:rsid w:val="009C70D0"/>
    <w:rsid w:val="009F16FB"/>
    <w:rsid w:val="009F686C"/>
    <w:rsid w:val="00A13E6E"/>
    <w:rsid w:val="00A15C2B"/>
    <w:rsid w:val="00A44084"/>
    <w:rsid w:val="00A73BC4"/>
    <w:rsid w:val="00A770F3"/>
    <w:rsid w:val="00A9169F"/>
    <w:rsid w:val="00A95879"/>
    <w:rsid w:val="00AB5974"/>
    <w:rsid w:val="00AC1171"/>
    <w:rsid w:val="00AC35BC"/>
    <w:rsid w:val="00AD19DA"/>
    <w:rsid w:val="00AD244D"/>
    <w:rsid w:val="00AE05E4"/>
    <w:rsid w:val="00AE7442"/>
    <w:rsid w:val="00B10E5E"/>
    <w:rsid w:val="00B24662"/>
    <w:rsid w:val="00B26142"/>
    <w:rsid w:val="00B46B22"/>
    <w:rsid w:val="00B83875"/>
    <w:rsid w:val="00B83CC2"/>
    <w:rsid w:val="00B84184"/>
    <w:rsid w:val="00B910B7"/>
    <w:rsid w:val="00B913D9"/>
    <w:rsid w:val="00B91DBB"/>
    <w:rsid w:val="00BA361C"/>
    <w:rsid w:val="00BA5BEB"/>
    <w:rsid w:val="00BB2E55"/>
    <w:rsid w:val="00BC3F9B"/>
    <w:rsid w:val="00BD2AB9"/>
    <w:rsid w:val="00BD412C"/>
    <w:rsid w:val="00BE4085"/>
    <w:rsid w:val="00BF3853"/>
    <w:rsid w:val="00C038DB"/>
    <w:rsid w:val="00C2345C"/>
    <w:rsid w:val="00C31695"/>
    <w:rsid w:val="00C37D9B"/>
    <w:rsid w:val="00C40AFB"/>
    <w:rsid w:val="00C40D50"/>
    <w:rsid w:val="00C60B17"/>
    <w:rsid w:val="00C6518D"/>
    <w:rsid w:val="00C6701F"/>
    <w:rsid w:val="00C816CA"/>
    <w:rsid w:val="00C953D4"/>
    <w:rsid w:val="00CA0ECB"/>
    <w:rsid w:val="00CA3969"/>
    <w:rsid w:val="00CB260D"/>
    <w:rsid w:val="00CB7882"/>
    <w:rsid w:val="00CE19E8"/>
    <w:rsid w:val="00CE2483"/>
    <w:rsid w:val="00CE4A9A"/>
    <w:rsid w:val="00D051CD"/>
    <w:rsid w:val="00D074A8"/>
    <w:rsid w:val="00D204A3"/>
    <w:rsid w:val="00D21C8F"/>
    <w:rsid w:val="00D22CD9"/>
    <w:rsid w:val="00D558B1"/>
    <w:rsid w:val="00D57795"/>
    <w:rsid w:val="00D63CA0"/>
    <w:rsid w:val="00D84441"/>
    <w:rsid w:val="00D97898"/>
    <w:rsid w:val="00DA1DEB"/>
    <w:rsid w:val="00DA3A9C"/>
    <w:rsid w:val="00DA4792"/>
    <w:rsid w:val="00DC54A7"/>
    <w:rsid w:val="00DD7580"/>
    <w:rsid w:val="00DE3060"/>
    <w:rsid w:val="00DF58B9"/>
    <w:rsid w:val="00E006C8"/>
    <w:rsid w:val="00E014E1"/>
    <w:rsid w:val="00E27DB6"/>
    <w:rsid w:val="00E42CB1"/>
    <w:rsid w:val="00E95FF4"/>
    <w:rsid w:val="00E96B4E"/>
    <w:rsid w:val="00EA3263"/>
    <w:rsid w:val="00EA61F8"/>
    <w:rsid w:val="00EB0FB2"/>
    <w:rsid w:val="00EB40DD"/>
    <w:rsid w:val="00EC18FA"/>
    <w:rsid w:val="00EE1CCF"/>
    <w:rsid w:val="00F360CA"/>
    <w:rsid w:val="00F44E21"/>
    <w:rsid w:val="00F728BC"/>
    <w:rsid w:val="00F81EB0"/>
    <w:rsid w:val="00FA5659"/>
    <w:rsid w:val="00FA7F81"/>
    <w:rsid w:val="00FC4D80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41A24-6217-4184-918A-D1B8554CC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basedOn w:val="DefaultParagraphFont"/>
    <w:unhideWhenUsed/>
    <w:rsid w:val="00BF3853"/>
    <w:rPr>
      <w:color w:val="0000FF"/>
      <w:u w:val="single"/>
    </w:rPr>
  </w:style>
  <w:style w:type="paragraph" w:styleId="NoSpacing">
    <w:name w:val="No Spacing"/>
    <w:uiPriority w:val="1"/>
    <w:qFormat/>
    <w:rsid w:val="00BF3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46B22"/>
    <w:rPr>
      <w:color w:val="808080"/>
    </w:rPr>
  </w:style>
  <w:style w:type="character" w:customStyle="1" w:styleId="ListParagraphChar">
    <w:name w:val="List Paragraph Char"/>
    <w:link w:val="ListParagraph"/>
    <w:uiPriority w:val="34"/>
    <w:locked/>
    <w:rsid w:val="00446B05"/>
  </w:style>
  <w:style w:type="table" w:styleId="GridTable4-Accent2">
    <w:name w:val="Grid Table 4 Accent 2"/>
    <w:basedOn w:val="TableNormal"/>
    <w:uiPriority w:val="49"/>
    <w:rsid w:val="008825EB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7E1E27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rmira.kopliku.PARLAMENT\Documents\VITI%202017\grafike%20per%20analiza%20vjetore\FONDI%20SHPENZIMEVE%20PLAN%20FAKT%204%20VJECARI%20FUNDIT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rmira.kopliku.PARLAMENT\Documents\VITI%202017\grafike%20per%20analiza%20vjetore\buxheti%20dhe%20nr%20punonjesve%20ne%20vite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rmira.kopliku.PARLAMENT\AppData\Local\Microsoft\Windows\Temporary%20Internet%20Files\Content.Outlook\SYMVES9E\602_krahasim%20ne%20vite%20vjetor%20%20%20%202017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rmira.kopliku.PARLAMENT\Documents\VITI%202017\grafike%20per%20analiza%20vjetore\grafike%20per%20analizen%20vjetore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rmira.kopliku.PARLAMENT\Documents\VITI%202017\BUXHETI%202017\602_krahasim%20ne%20vite%20vjetor%20%20%202017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rmira.kopliku.PARLAMENT\Documents\VITI%202017\grafike%20per%20analiza%20vjetore\grafike%20per%20analizen%20vjetore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sq-AL"/>
              <a:t>shpenzimet operative plan fakt ne vite</a:t>
            </a:r>
          </a:p>
        </c:rich>
      </c:tx>
      <c:layout>
        <c:manualLayout>
          <c:xMode val="edge"/>
          <c:yMode val="edge"/>
          <c:x val="0.46283530596411304"/>
          <c:y val="1.6542597187758485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 w="9525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12246981627296588"/>
          <c:y val="0.14856481481481484"/>
          <c:w val="0.87753018372703395"/>
          <c:h val="0.5183380723242927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'dhjetor 2017'!$B$10:$B$11</c:f>
              <c:strCache>
                <c:ptCount val="2"/>
                <c:pt idx="0">
                  <c:v>Shpenzime per paga( art.600)</c:v>
                </c:pt>
                <c:pt idx="1">
                  <c:v>Plan 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'dhjetor 2017'!$A$12:$A$15</c:f>
              <c:strCache>
                <c:ptCount val="4"/>
                <c:pt idx="0">
                  <c:v>viti 2014</c:v>
                </c:pt>
                <c:pt idx="1">
                  <c:v>viti 2015</c:v>
                </c:pt>
                <c:pt idx="2">
                  <c:v>viti 2016</c:v>
                </c:pt>
                <c:pt idx="3">
                  <c:v>viti 2017</c:v>
                </c:pt>
              </c:strCache>
            </c:strRef>
          </c:cat>
          <c:val>
            <c:numRef>
              <c:f>'dhjetor 2017'!$B$12:$B$15</c:f>
              <c:numCache>
                <c:formatCode>General</c:formatCode>
                <c:ptCount val="4"/>
                <c:pt idx="0">
                  <c:v>520</c:v>
                </c:pt>
                <c:pt idx="1">
                  <c:v>461</c:v>
                </c:pt>
                <c:pt idx="2" formatCode="#,##0.00">
                  <c:v>493</c:v>
                </c:pt>
                <c:pt idx="3">
                  <c:v>529</c:v>
                </c:pt>
              </c:numCache>
            </c:numRef>
          </c:val>
        </c:ser>
        <c:ser>
          <c:idx val="1"/>
          <c:order val="1"/>
          <c:tx>
            <c:strRef>
              <c:f>'dhjetor 2017'!$C$10:$C$11</c:f>
              <c:strCache>
                <c:ptCount val="2"/>
                <c:pt idx="0">
                  <c:v>Shpenzime per paga( art.600)</c:v>
                </c:pt>
                <c:pt idx="1">
                  <c:v>fakt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cat>
            <c:strRef>
              <c:f>'dhjetor 2017'!$A$12:$A$15</c:f>
              <c:strCache>
                <c:ptCount val="4"/>
                <c:pt idx="0">
                  <c:v>viti 2014</c:v>
                </c:pt>
                <c:pt idx="1">
                  <c:v>viti 2015</c:v>
                </c:pt>
                <c:pt idx="2">
                  <c:v>viti 2016</c:v>
                </c:pt>
                <c:pt idx="3">
                  <c:v>viti 2017</c:v>
                </c:pt>
              </c:strCache>
            </c:strRef>
          </c:cat>
          <c:val>
            <c:numRef>
              <c:f>'dhjetor 2017'!$C$12:$C$15</c:f>
              <c:numCache>
                <c:formatCode>General</c:formatCode>
                <c:ptCount val="4"/>
                <c:pt idx="0">
                  <c:v>440</c:v>
                </c:pt>
                <c:pt idx="1">
                  <c:v>461</c:v>
                </c:pt>
                <c:pt idx="2" formatCode="#,##0.00">
                  <c:v>482</c:v>
                </c:pt>
                <c:pt idx="3">
                  <c:v>497</c:v>
                </c:pt>
              </c:numCache>
            </c:numRef>
          </c:val>
        </c:ser>
        <c:ser>
          <c:idx val="2"/>
          <c:order val="2"/>
          <c:tx>
            <c:strRef>
              <c:f>'dhjetor 2017'!$D$10:$D$11</c:f>
              <c:strCache>
                <c:ptCount val="2"/>
                <c:pt idx="0">
                  <c:v>Shpenzime te kontributeve sigurimeve shoqërore (art.601)</c:v>
                </c:pt>
                <c:pt idx="1">
                  <c:v>Plan </c:v>
                </c:pt>
              </c:strCache>
            </c:strRef>
          </c:tx>
          <c:spPr>
            <a:solidFill>
              <a:srgbClr val="9BBB59"/>
            </a:solidFill>
            <a:ln w="25400">
              <a:noFill/>
            </a:ln>
          </c:spPr>
          <c:invertIfNegative val="0"/>
          <c:cat>
            <c:strRef>
              <c:f>'dhjetor 2017'!$A$12:$A$15</c:f>
              <c:strCache>
                <c:ptCount val="4"/>
                <c:pt idx="0">
                  <c:v>viti 2014</c:v>
                </c:pt>
                <c:pt idx="1">
                  <c:v>viti 2015</c:v>
                </c:pt>
                <c:pt idx="2">
                  <c:v>viti 2016</c:v>
                </c:pt>
                <c:pt idx="3">
                  <c:v>viti 2017</c:v>
                </c:pt>
              </c:strCache>
            </c:strRef>
          </c:cat>
          <c:val>
            <c:numRef>
              <c:f>'dhjetor 2017'!$D$12:$D$15</c:f>
              <c:numCache>
                <c:formatCode>General</c:formatCode>
                <c:ptCount val="4"/>
                <c:pt idx="0">
                  <c:v>80</c:v>
                </c:pt>
                <c:pt idx="1">
                  <c:v>61</c:v>
                </c:pt>
                <c:pt idx="2" formatCode="#,##0.00">
                  <c:v>74</c:v>
                </c:pt>
                <c:pt idx="3">
                  <c:v>80</c:v>
                </c:pt>
              </c:numCache>
            </c:numRef>
          </c:val>
        </c:ser>
        <c:ser>
          <c:idx val="3"/>
          <c:order val="3"/>
          <c:tx>
            <c:strRef>
              <c:f>'dhjetor 2017'!$E$10:$E$11</c:f>
              <c:strCache>
                <c:ptCount val="2"/>
                <c:pt idx="0">
                  <c:v>Shpenzime te kontributeve sigurimeve shoqërore (art.601)</c:v>
                </c:pt>
                <c:pt idx="1">
                  <c:v>fakt</c:v>
                </c:pt>
              </c:strCache>
            </c:strRef>
          </c:tx>
          <c:spPr>
            <a:solidFill>
              <a:srgbClr val="8064A2"/>
            </a:solidFill>
            <a:ln w="25400">
              <a:noFill/>
            </a:ln>
          </c:spPr>
          <c:invertIfNegative val="0"/>
          <c:cat>
            <c:strRef>
              <c:f>'dhjetor 2017'!$A$12:$A$15</c:f>
              <c:strCache>
                <c:ptCount val="4"/>
                <c:pt idx="0">
                  <c:v>viti 2014</c:v>
                </c:pt>
                <c:pt idx="1">
                  <c:v>viti 2015</c:v>
                </c:pt>
                <c:pt idx="2">
                  <c:v>viti 2016</c:v>
                </c:pt>
                <c:pt idx="3">
                  <c:v>viti 2017</c:v>
                </c:pt>
              </c:strCache>
            </c:strRef>
          </c:cat>
          <c:val>
            <c:numRef>
              <c:f>'dhjetor 2017'!$E$12:$E$15</c:f>
              <c:numCache>
                <c:formatCode>General</c:formatCode>
                <c:ptCount val="4"/>
                <c:pt idx="0">
                  <c:v>61</c:v>
                </c:pt>
                <c:pt idx="1">
                  <c:v>61</c:v>
                </c:pt>
                <c:pt idx="2" formatCode="#,##0.00">
                  <c:v>63</c:v>
                </c:pt>
                <c:pt idx="3">
                  <c:v>67</c:v>
                </c:pt>
              </c:numCache>
            </c:numRef>
          </c:val>
        </c:ser>
        <c:ser>
          <c:idx val="4"/>
          <c:order val="4"/>
          <c:tx>
            <c:strRef>
              <c:f>'dhjetor 2017'!$F$10:$F$11</c:f>
              <c:strCache>
                <c:ptCount val="2"/>
                <c:pt idx="0">
                  <c:v>Shpenzime tjera operative ( shërbime e mallra, art.602) </c:v>
                </c:pt>
                <c:pt idx="1">
                  <c:v>Plan </c:v>
                </c:pt>
              </c:strCache>
            </c:strRef>
          </c:tx>
          <c:spPr>
            <a:solidFill>
              <a:srgbClr val="4BACC6"/>
            </a:solidFill>
            <a:ln w="25400">
              <a:noFill/>
            </a:ln>
          </c:spPr>
          <c:invertIfNegative val="0"/>
          <c:cat>
            <c:strRef>
              <c:f>'dhjetor 2017'!$A$12:$A$15</c:f>
              <c:strCache>
                <c:ptCount val="4"/>
                <c:pt idx="0">
                  <c:v>viti 2014</c:v>
                </c:pt>
                <c:pt idx="1">
                  <c:v>viti 2015</c:v>
                </c:pt>
                <c:pt idx="2">
                  <c:v>viti 2016</c:v>
                </c:pt>
                <c:pt idx="3">
                  <c:v>viti 2017</c:v>
                </c:pt>
              </c:strCache>
            </c:strRef>
          </c:cat>
          <c:val>
            <c:numRef>
              <c:f>'dhjetor 2017'!$F$12:$F$15</c:f>
              <c:numCache>
                <c:formatCode>General</c:formatCode>
                <c:ptCount val="4"/>
                <c:pt idx="0">
                  <c:v>398</c:v>
                </c:pt>
                <c:pt idx="1">
                  <c:v>366</c:v>
                </c:pt>
                <c:pt idx="2" formatCode="#,##0.00">
                  <c:v>445</c:v>
                </c:pt>
                <c:pt idx="3">
                  <c:v>432</c:v>
                </c:pt>
              </c:numCache>
            </c:numRef>
          </c:val>
        </c:ser>
        <c:ser>
          <c:idx val="5"/>
          <c:order val="5"/>
          <c:tx>
            <c:strRef>
              <c:f>'dhjetor 2017'!$G$10:$G$11</c:f>
              <c:strCache>
                <c:ptCount val="2"/>
                <c:pt idx="0">
                  <c:v>Shpenzime tjera operative ( shërbime e mallra, art.602) </c:v>
                </c:pt>
                <c:pt idx="1">
                  <c:v>fakt</c:v>
                </c:pt>
              </c:strCache>
            </c:strRef>
          </c:tx>
          <c:spPr>
            <a:solidFill>
              <a:srgbClr val="F79646"/>
            </a:solidFill>
            <a:ln w="25400">
              <a:noFill/>
            </a:ln>
          </c:spPr>
          <c:invertIfNegative val="0"/>
          <c:cat>
            <c:strRef>
              <c:f>'dhjetor 2017'!$A$12:$A$15</c:f>
              <c:strCache>
                <c:ptCount val="4"/>
                <c:pt idx="0">
                  <c:v>viti 2014</c:v>
                </c:pt>
                <c:pt idx="1">
                  <c:v>viti 2015</c:v>
                </c:pt>
                <c:pt idx="2">
                  <c:v>viti 2016</c:v>
                </c:pt>
                <c:pt idx="3">
                  <c:v>viti 2017</c:v>
                </c:pt>
              </c:strCache>
            </c:strRef>
          </c:cat>
          <c:val>
            <c:numRef>
              <c:f>'dhjetor 2017'!$G$12:$G$15</c:f>
              <c:numCache>
                <c:formatCode>General</c:formatCode>
                <c:ptCount val="4"/>
                <c:pt idx="0">
                  <c:v>238</c:v>
                </c:pt>
                <c:pt idx="1">
                  <c:v>346</c:v>
                </c:pt>
                <c:pt idx="2" formatCode="#,##0.00">
                  <c:v>443</c:v>
                </c:pt>
                <c:pt idx="3">
                  <c:v>323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35087648"/>
        <c:axId val="432742224"/>
        <c:axId val="0"/>
      </c:bar3DChart>
      <c:catAx>
        <c:axId val="3350876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432742224"/>
        <c:crosses val="autoZero"/>
        <c:auto val="1"/>
        <c:lblAlgn val="ctr"/>
        <c:lblOffset val="100"/>
        <c:noMultiLvlLbl val="0"/>
      </c:catAx>
      <c:valAx>
        <c:axId val="432742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q-AL"/>
                  <a:t>ne milion lekë</a:t>
                </a:r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q-AL"/>
          </a:p>
        </c:txPr>
        <c:crossAx val="3350876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/>
          <a:lstStyle/>
          <a:p>
            <a:pPr rtl="0"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q-AL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q-A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S</a:t>
            </a:r>
            <a:r>
              <a:rPr lang="sq-AL">
                <a:latin typeface="Times New Roman" panose="02020603050405020304" pitchFamily="18" charset="0"/>
                <a:cs typeface="Times New Roman" panose="02020603050405020304" pitchFamily="18" charset="0"/>
              </a:rPr>
              <a:t>hpenzimet</a:t>
            </a: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 faktike</a:t>
            </a:r>
            <a:r>
              <a:rPr lang="en-US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në</a:t>
            </a:r>
            <a:r>
              <a:rPr lang="sq-AL">
                <a:latin typeface="Times New Roman" panose="02020603050405020304" pitchFamily="18" charset="0"/>
                <a:cs typeface="Times New Roman" panose="02020603050405020304" pitchFamily="18" charset="0"/>
              </a:rPr>
              <a:t> paga </a:t>
            </a: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(</a:t>
            </a:r>
            <a:r>
              <a:rPr lang="sq-AL">
                <a:latin typeface="Times New Roman" panose="02020603050405020304" pitchFamily="18" charset="0"/>
                <a:cs typeface="Times New Roman" panose="02020603050405020304" pitchFamily="18" charset="0"/>
              </a:rPr>
              <a:t>në mln lekë</a:t>
            </a: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)</a:t>
            </a:r>
            <a:r>
              <a:rPr lang="sq-AL">
                <a:latin typeface="Times New Roman" panose="02020603050405020304" pitchFamily="18" charset="0"/>
                <a:cs typeface="Times New Roman" panose="02020603050405020304" pitchFamily="18" charset="0"/>
              </a:rPr>
              <a:t>, të ndara në </a:t>
            </a: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staf politik </a:t>
            </a:r>
            <a:r>
              <a:rPr lang="sq-AL">
                <a:latin typeface="Times New Roman" panose="02020603050405020304" pitchFamily="18" charset="0"/>
                <a:cs typeface="Times New Roman" panose="02020603050405020304" pitchFamily="18" charset="0"/>
              </a:rPr>
              <a:t> dhe </a:t>
            </a: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s</a:t>
            </a:r>
            <a:r>
              <a:rPr lang="sq-AL">
                <a:latin typeface="Times New Roman" panose="02020603050405020304" pitchFamily="18" charset="0"/>
                <a:cs typeface="Times New Roman" panose="02020603050405020304" pitchFamily="18" charset="0"/>
              </a:rPr>
              <a:t>taf </a:t>
            </a: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administrativ</a:t>
            </a:r>
            <a:endParaRPr lang="sq-AL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3836506314912372"/>
          <c:y val="3.832752613240417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8029387016400966"/>
          <c:y val="0.30313588850174217"/>
          <c:w val="0.63312498592477795"/>
          <c:h val="0.41114982578397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Sheet3!$A$12</c:f>
              <c:strCache>
                <c:ptCount val="1"/>
                <c:pt idx="0">
                  <c:v>deputete dhe staf politik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Sheet3!$B$11:$E$11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Sheet3!$B$12:$E$12</c:f>
              <c:numCache>
                <c:formatCode>General</c:formatCode>
                <c:ptCount val="4"/>
                <c:pt idx="0">
                  <c:v>301</c:v>
                </c:pt>
                <c:pt idx="1">
                  <c:v>320</c:v>
                </c:pt>
                <c:pt idx="2">
                  <c:v>339</c:v>
                </c:pt>
                <c:pt idx="3">
                  <c:v>337</c:v>
                </c:pt>
              </c:numCache>
            </c:numRef>
          </c:val>
        </c:ser>
        <c:ser>
          <c:idx val="1"/>
          <c:order val="1"/>
          <c:tx>
            <c:strRef>
              <c:f>Sheet3!$A$13</c:f>
              <c:strCache>
                <c:ptCount val="1"/>
                <c:pt idx="0">
                  <c:v>Stafi administrativ 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Sheet3!$B$11:$E$11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Sheet3!$B$13:$E$13</c:f>
              <c:numCache>
                <c:formatCode>General</c:formatCode>
                <c:ptCount val="4"/>
                <c:pt idx="0">
                  <c:v>200</c:v>
                </c:pt>
                <c:pt idx="1">
                  <c:v>201</c:v>
                </c:pt>
                <c:pt idx="2">
                  <c:v>205</c:v>
                </c:pt>
                <c:pt idx="3">
                  <c:v>227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9515776"/>
        <c:axId val="300057040"/>
      </c:barChart>
      <c:catAx>
        <c:axId val="309515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q-AL"/>
          </a:p>
        </c:txPr>
        <c:crossAx val="300057040"/>
        <c:crosses val="autoZero"/>
        <c:auto val="1"/>
        <c:lblAlgn val="ctr"/>
        <c:lblOffset val="100"/>
        <c:tickMarkSkip val="1"/>
        <c:noMultiLvlLbl val="0"/>
      </c:catAx>
      <c:valAx>
        <c:axId val="30005704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q-AL"/>
          </a:p>
        </c:txPr>
        <c:crossAx val="3095157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q-AL"/>
          </a:p>
        </c:txPr>
      </c:dTable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q-A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576429878259038E-2"/>
          <c:y val="8.9839621782293058E-2"/>
          <c:w val="0.52915089632343115"/>
          <c:h val="0.8287329541220595"/>
        </c:manualLayout>
      </c:layout>
      <c:pie3DChart>
        <c:varyColors val="1"/>
        <c:ser>
          <c:idx val="0"/>
          <c:order val="0"/>
          <c:explosion val="25"/>
          <c:dLbls>
            <c:dLbl>
              <c:idx val="3"/>
              <c:layout>
                <c:manualLayout>
                  <c:x val="-4.4517275371490472E-2"/>
                  <c:y val="-9.0303617410599658E-3"/>
                </c:manualLayout>
              </c:layout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2935007930809295E-2"/>
                  <c:y val="-5.5651324341555097E-3"/>
                </c:manualLayout>
              </c:layout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'[602_krahasim ne vite vjetor    2017.xls]Shpenzimet kryesore'!$A$22:$A$35</c:f>
              <c:strCache>
                <c:ptCount val="14"/>
                <c:pt idx="0">
                  <c:v>kancelari, materiale pastrimi, hidrosanitare, ndricimi, bojatisje</c:v>
                </c:pt>
                <c:pt idx="1">
                  <c:v>Shpenzimet mirembajtje pajisje e sisteme </c:v>
                </c:pt>
                <c:pt idx="2">
                  <c:v>Shpenzime transporti</c:v>
                </c:pt>
                <c:pt idx="3">
                  <c:v>shpenzime udhetime jashte shteti </c:v>
                </c:pt>
                <c:pt idx="4">
                  <c:v>perfitime ligjore financiare te deputeteve</c:v>
                </c:pt>
                <c:pt idx="5">
                  <c:v>Shpenzime pritje delegacione</c:v>
                </c:pt>
                <c:pt idx="6">
                  <c:v>kuota parlamentare</c:v>
                </c:pt>
                <c:pt idx="7">
                  <c:v>sherbime botimi e printimi </c:v>
                </c:pt>
                <c:pt idx="8">
                  <c:v>shpenzime pwr ekzekutim vendime gjyqwsore</c:v>
                </c:pt>
                <c:pt idx="9">
                  <c:v>pagesa te menjehershme per lenie funksioni</c:v>
                </c:pt>
                <c:pt idx="10">
                  <c:v>shpenzime utilitare</c:v>
                </c:pt>
                <c:pt idx="11">
                  <c:v>punonjes me kontrate </c:v>
                </c:pt>
                <c:pt idx="12">
                  <c:v>shtypi perditshem </c:v>
                </c:pt>
                <c:pt idx="13">
                  <c:v>te tjera si dekorime, lule, dhurata, kom ad hoc, perkthyes,</c:v>
                </c:pt>
              </c:strCache>
            </c:strRef>
          </c:cat>
          <c:val>
            <c:numRef>
              <c:f>'[602_krahasim ne vite vjetor    2017.xls]Shpenzimet kryesore'!$B$22:$B$35</c:f>
              <c:numCache>
                <c:formatCode>0.00%</c:formatCode>
                <c:ptCount val="14"/>
                <c:pt idx="0">
                  <c:v>3.9840155376916236E-2</c:v>
                </c:pt>
                <c:pt idx="1">
                  <c:v>4.4729812325286306E-2</c:v>
                </c:pt>
                <c:pt idx="2">
                  <c:v>5.4385023253793706E-2</c:v>
                </c:pt>
                <c:pt idx="3">
                  <c:v>0.10867696928141285</c:v>
                </c:pt>
                <c:pt idx="4">
                  <c:v>0.40554678216516254</c:v>
                </c:pt>
                <c:pt idx="5">
                  <c:v>2.6160905703462169E-2</c:v>
                </c:pt>
                <c:pt idx="6">
                  <c:v>4.0333464675641417E-2</c:v>
                </c:pt>
                <c:pt idx="7">
                  <c:v>2.184212240896273E-2</c:v>
                </c:pt>
                <c:pt idx="8">
                  <c:v>7.2634364732418494E-2</c:v>
                </c:pt>
                <c:pt idx="9">
                  <c:v>6.6264779887872965E-2</c:v>
                </c:pt>
                <c:pt idx="10">
                  <c:v>3.3507801422840544E-2</c:v>
                </c:pt>
                <c:pt idx="11">
                  <c:v>1.4842715000636031E-2</c:v>
                </c:pt>
                <c:pt idx="12">
                  <c:v>1.3251094433051102E-2</c:v>
                </c:pt>
                <c:pt idx="13">
                  <c:v>5.7984009332543239E-2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overlay val="0"/>
    </c:legend>
    <c:plotVisOnly val="1"/>
    <c:dispBlanksAs val="zero"/>
    <c:showDLblsOverMax val="0"/>
  </c:chart>
  <c:txPr>
    <a:bodyPr/>
    <a:lstStyle/>
    <a:p>
      <a:pPr>
        <a:defRPr>
          <a:ln cap="rnd">
            <a:solidFill>
              <a:schemeClr val="accent1"/>
            </a:solidFill>
            <a:miter lim="800000"/>
          </a:ln>
          <a:solidFill>
            <a:schemeClr val="tx1"/>
          </a:solidFill>
        </a:defRPr>
      </a:pPr>
      <a:endParaRPr lang="sq-A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 sz="10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 </a:t>
            </a:r>
            <a:r>
              <a:rPr lang="sq-AL" sz="10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shpenzimet për udhëtime jashtë shteti në vite në mln lek</a:t>
            </a:r>
            <a:r>
              <a:rPr lang="en-US" sz="10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ë</a:t>
            </a:r>
            <a:endParaRPr lang="sq-AL" sz="1000" b="1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7029731618743202"/>
          <c:y val="4.3005940046967818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3054755043227673"/>
          <c:y val="0.20557491289198609"/>
          <c:w val="0.72910662824207495"/>
          <c:h val="0.57491289198606255"/>
        </c:manualLayout>
      </c:layout>
      <c:lineChart>
        <c:grouping val="standard"/>
        <c:varyColors val="0"/>
        <c:ser>
          <c:idx val="0"/>
          <c:order val="0"/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numRef>
              <c:f>'shpenz operative faktike 602'!$B$5:$B$12</c:f>
              <c:numCache>
                <c:formatCode>General</c:formatCode>
                <c:ptCount val="8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'shpenz operative faktike 602'!$C$5:$C$12</c:f>
              <c:numCache>
                <c:formatCode>General</c:formatCode>
                <c:ptCount val="8"/>
                <c:pt idx="0">
                  <c:v>34.4</c:v>
                </c:pt>
                <c:pt idx="1">
                  <c:v>48.4</c:v>
                </c:pt>
                <c:pt idx="2">
                  <c:v>64.400000000000006</c:v>
                </c:pt>
                <c:pt idx="3">
                  <c:v>36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1202144"/>
        <c:axId val="441202704"/>
      </c:lineChart>
      <c:catAx>
        <c:axId val="4412021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sq-AL"/>
                  <a:t>vitet</a:t>
                </a:r>
              </a:p>
            </c:rich>
          </c:tx>
          <c:layout>
            <c:manualLayout>
              <c:xMode val="edge"/>
              <c:yMode val="edge"/>
              <c:x val="0.55331406712458842"/>
              <c:y val="0.8745644599303135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q-AL"/>
          </a:p>
        </c:txPr>
        <c:crossAx val="4412027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4120270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q-AL"/>
          </a:p>
        </c:txPr>
        <c:crossAx val="441202144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q-A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Shpenzimet</a:t>
            </a:r>
            <a:r>
              <a:rPr lang="en-US" baseline="0"/>
              <a:t> për mirëmbajtje autovetura, pajisje zyra dhe sisteme elektronike në vite</a:t>
            </a:r>
            <a:endParaRPr lang="sq-AL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'Shpenzimet kryesore'!$A$43:$A$46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xVal>
          <c:yVal>
            <c:numRef>
              <c:f>'Shpenzimet kryesore'!$B$43:$B$46</c:f>
              <c:numCache>
                <c:formatCode>#,##0</c:formatCode>
                <c:ptCount val="4"/>
                <c:pt idx="0">
                  <c:v>6.5</c:v>
                </c:pt>
                <c:pt idx="1">
                  <c:v>11.6</c:v>
                </c:pt>
                <c:pt idx="2">
                  <c:v>25.3</c:v>
                </c:pt>
                <c:pt idx="3">
                  <c:v>22.2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1204944"/>
        <c:axId val="441205504"/>
      </c:scatterChart>
      <c:valAx>
        <c:axId val="441204944"/>
        <c:scaling>
          <c:orientation val="minMax"/>
          <c:max val="2017"/>
          <c:min val="201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vitet buxhetore </a:t>
                </a:r>
                <a:endParaRPr lang="sq-AL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q-AL"/>
          </a:p>
        </c:txPr>
        <c:crossAx val="441205504"/>
        <c:crosses val="autoZero"/>
        <c:crossBetween val="midCat"/>
        <c:majorUnit val="1"/>
      </c:valAx>
      <c:valAx>
        <c:axId val="441205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vlera e shpenzimeve në mln lekë</a:t>
                </a:r>
                <a:endParaRPr lang="sq-AL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q-AL"/>
          </a:p>
        </c:txPr>
        <c:crossAx val="44120494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/>
      </a:pPr>
      <a:endParaRPr lang="sq-A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shpenzimet  për pritje e përcjellje të delegacioneve të huaja në vite</a:t>
            </a:r>
            <a:endParaRPr lang="sq-AL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'shpenz operative faktike 602'!$B$31:$B$35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'shpenz operative faktike 602'!$C$31:$C$35</c:f>
              <c:numCache>
                <c:formatCode>General</c:formatCode>
                <c:ptCount val="5"/>
                <c:pt idx="0">
                  <c:v>9700</c:v>
                </c:pt>
                <c:pt idx="1">
                  <c:v>10300</c:v>
                </c:pt>
                <c:pt idx="2">
                  <c:v>8200</c:v>
                </c:pt>
                <c:pt idx="3">
                  <c:v>5547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6408032"/>
        <c:axId val="436408592"/>
      </c:barChart>
      <c:catAx>
        <c:axId val="436408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q-AL"/>
          </a:p>
        </c:txPr>
        <c:crossAx val="436408592"/>
        <c:crosses val="autoZero"/>
        <c:auto val="1"/>
        <c:lblAlgn val="ctr"/>
        <c:lblOffset val="100"/>
        <c:noMultiLvlLbl val="0"/>
      </c:catAx>
      <c:valAx>
        <c:axId val="436408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q-AL"/>
          </a:p>
        </c:txPr>
        <c:crossAx val="436408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q-A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3AB4E-8FEC-4AD7-9B7C-C7F03A439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Endrit Musaj</dc:creator>
  <cp:lastModifiedBy>Ermira Kopliku</cp:lastModifiedBy>
  <cp:revision>2</cp:revision>
  <cp:lastPrinted>2017-12-28T11:51:00Z</cp:lastPrinted>
  <dcterms:created xsi:type="dcterms:W3CDTF">2018-10-03T08:07:00Z</dcterms:created>
  <dcterms:modified xsi:type="dcterms:W3CDTF">2018-10-03T08:07:00Z</dcterms:modified>
</cp:coreProperties>
</file>