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587" w:rsidRDefault="006D28F7">
      <w:pPr>
        <w:pBdr>
          <w:top w:val="nil"/>
          <w:left w:val="nil"/>
          <w:bottom w:val="nil"/>
          <w:right w:val="nil"/>
          <w:between w:val="nil"/>
        </w:pBdr>
        <w:spacing w:line="276" w:lineRule="auto"/>
        <w:ind w:left="4182"/>
        <w:rPr>
          <w:color w:val="000000"/>
          <w:sz w:val="24"/>
          <w:szCs w:val="24"/>
        </w:rPr>
      </w:pPr>
      <w:r>
        <w:rPr>
          <w:noProof/>
          <w:color w:val="000000"/>
          <w:sz w:val="24"/>
          <w:szCs w:val="24"/>
          <w:lang w:val="en-US"/>
        </w:rPr>
        <w:drawing>
          <wp:inline distT="0" distB="0" distL="0" distR="0">
            <wp:extent cx="446409" cy="626364"/>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446409" cy="626364"/>
                    </a:xfrm>
                    <a:prstGeom prst="rect">
                      <a:avLst/>
                    </a:prstGeom>
                    <a:ln/>
                  </pic:spPr>
                </pic:pic>
              </a:graphicData>
            </a:graphic>
          </wp:inline>
        </w:drawing>
      </w:r>
    </w:p>
    <w:p w:rsidR="00740587" w:rsidRDefault="006D28F7">
      <w:pPr>
        <w:pStyle w:val="Title"/>
        <w:spacing w:line="276" w:lineRule="auto"/>
        <w:ind w:firstLine="2071"/>
        <w:rPr>
          <w:sz w:val="24"/>
          <w:szCs w:val="24"/>
        </w:rPr>
      </w:pPr>
      <w:r>
        <w:rPr>
          <w:sz w:val="24"/>
          <w:szCs w:val="24"/>
        </w:rPr>
        <w:t>REPUBLIKA E SHQIPËRISË KUVENDI</w:t>
      </w:r>
    </w:p>
    <w:p w:rsidR="00740587" w:rsidRDefault="006D28F7">
      <w:pPr>
        <w:spacing w:line="276" w:lineRule="auto"/>
        <w:ind w:right="1"/>
        <w:jc w:val="center"/>
        <w:rPr>
          <w:sz w:val="24"/>
          <w:szCs w:val="24"/>
        </w:rPr>
      </w:pPr>
      <w:r>
        <w:rPr>
          <w:sz w:val="24"/>
          <w:szCs w:val="24"/>
        </w:rPr>
        <w:t>Komisioni për Çështjet Ligjore dhe Administratën Publike</w:t>
      </w:r>
    </w:p>
    <w:p w:rsidR="00740587" w:rsidRDefault="00740587">
      <w:pPr>
        <w:pBdr>
          <w:top w:val="nil"/>
          <w:left w:val="nil"/>
          <w:bottom w:val="nil"/>
          <w:right w:val="nil"/>
          <w:between w:val="nil"/>
        </w:pBdr>
        <w:spacing w:before="164" w:line="276" w:lineRule="auto"/>
        <w:rPr>
          <w:color w:val="000000"/>
          <w:sz w:val="24"/>
          <w:szCs w:val="24"/>
        </w:rPr>
      </w:pPr>
    </w:p>
    <w:p w:rsidR="00740587" w:rsidRDefault="006D28F7">
      <w:pPr>
        <w:spacing w:line="276" w:lineRule="auto"/>
        <w:ind w:right="1"/>
        <w:jc w:val="center"/>
        <w:rPr>
          <w:i/>
          <w:iCs/>
        </w:rPr>
      </w:pPr>
      <w:r>
        <w:rPr>
          <w:i/>
          <w:iCs/>
        </w:rPr>
        <w:t>Dokument parlamentar</w:t>
      </w:r>
    </w:p>
    <w:p w:rsidR="00740587" w:rsidRDefault="006836FC">
      <w:pPr>
        <w:spacing w:before="122" w:line="276" w:lineRule="auto"/>
        <w:ind w:left="6487" w:right="1"/>
        <w:jc w:val="center"/>
      </w:pPr>
      <w:r>
        <w:t xml:space="preserve">           </w:t>
      </w:r>
      <w:r w:rsidR="006D28F7">
        <w:t xml:space="preserve"> Tiranë, më 21.1.2026</w:t>
      </w:r>
    </w:p>
    <w:p w:rsidR="00740587" w:rsidRDefault="00740587">
      <w:pPr>
        <w:pBdr>
          <w:top w:val="nil"/>
          <w:left w:val="nil"/>
          <w:bottom w:val="nil"/>
          <w:right w:val="nil"/>
          <w:between w:val="nil"/>
        </w:pBdr>
        <w:spacing w:line="276" w:lineRule="auto"/>
        <w:rPr>
          <w:color w:val="000000"/>
          <w:sz w:val="24"/>
          <w:szCs w:val="24"/>
        </w:rPr>
      </w:pPr>
    </w:p>
    <w:p w:rsidR="00740587" w:rsidRDefault="006D28F7">
      <w:pPr>
        <w:pStyle w:val="Heading1"/>
        <w:spacing w:line="276" w:lineRule="auto"/>
        <w:ind w:left="0" w:right="1" w:firstLine="0"/>
        <w:jc w:val="center"/>
      </w:pPr>
      <w:r>
        <w:t>RAPORT</w:t>
      </w:r>
    </w:p>
    <w:p w:rsidR="00740587" w:rsidRDefault="006D28F7">
      <w:pPr>
        <w:pBdr>
          <w:top w:val="nil"/>
          <w:left w:val="nil"/>
          <w:bottom w:val="nil"/>
          <w:right w:val="nil"/>
          <w:between w:val="nil"/>
        </w:pBdr>
        <w:spacing w:line="276" w:lineRule="auto"/>
        <w:ind w:left="2071" w:right="2068"/>
        <w:jc w:val="center"/>
        <w:rPr>
          <w:color w:val="000000"/>
          <w:sz w:val="24"/>
          <w:szCs w:val="24"/>
        </w:rPr>
      </w:pPr>
      <w:r>
        <w:rPr>
          <w:color w:val="000000"/>
          <w:sz w:val="24"/>
          <w:szCs w:val="24"/>
        </w:rPr>
        <w:t>(Komision Përgjegjës)</w:t>
      </w:r>
    </w:p>
    <w:p w:rsidR="00740587" w:rsidRDefault="00740587">
      <w:pPr>
        <w:spacing w:line="276" w:lineRule="auto"/>
        <w:ind w:left="1"/>
        <w:jc w:val="center"/>
        <w:rPr>
          <w:b/>
          <w:bCs/>
          <w:sz w:val="24"/>
          <w:szCs w:val="24"/>
        </w:rPr>
      </w:pPr>
    </w:p>
    <w:p w:rsidR="00740587" w:rsidRDefault="006D28F7">
      <w:pPr>
        <w:spacing w:line="276" w:lineRule="auto"/>
        <w:ind w:left="1"/>
        <w:jc w:val="center"/>
        <w:rPr>
          <w:b/>
          <w:bCs/>
          <w:sz w:val="24"/>
          <w:szCs w:val="24"/>
        </w:rPr>
      </w:pPr>
      <w:r>
        <w:rPr>
          <w:b/>
          <w:bCs/>
          <w:sz w:val="24"/>
          <w:szCs w:val="24"/>
        </w:rPr>
        <w:t>PËR PROJEKTLIGJIN</w:t>
      </w:r>
    </w:p>
    <w:p w:rsidR="00740587" w:rsidRDefault="00740587">
      <w:pPr>
        <w:spacing w:line="276" w:lineRule="auto"/>
        <w:ind w:left="1"/>
        <w:jc w:val="center"/>
        <w:rPr>
          <w:b/>
          <w:bCs/>
          <w:sz w:val="24"/>
          <w:szCs w:val="24"/>
        </w:rPr>
      </w:pPr>
    </w:p>
    <w:p w:rsidR="00740587" w:rsidRDefault="006D28F7">
      <w:pPr>
        <w:ind w:left="145"/>
        <w:jc w:val="center"/>
        <w:rPr>
          <w:b/>
          <w:bCs/>
          <w:sz w:val="24"/>
          <w:szCs w:val="24"/>
        </w:rPr>
      </w:pPr>
      <w:r>
        <w:rPr>
          <w:b/>
          <w:bCs/>
          <w:sz w:val="24"/>
          <w:szCs w:val="24"/>
        </w:rPr>
        <w:t>PËR PROJEKTLIGJIN “PËR DISA NDRYSHIME DHE SHTESA</w:t>
      </w:r>
    </w:p>
    <w:p w:rsidR="00740587" w:rsidRDefault="006D28F7">
      <w:pPr>
        <w:ind w:left="180" w:right="35"/>
        <w:jc w:val="center"/>
        <w:rPr>
          <w:b/>
          <w:bCs/>
          <w:sz w:val="24"/>
          <w:szCs w:val="24"/>
        </w:rPr>
      </w:pPr>
      <w:r>
        <w:rPr>
          <w:b/>
          <w:bCs/>
          <w:sz w:val="24"/>
          <w:szCs w:val="24"/>
        </w:rPr>
        <w:t>NË LIGJIN NR.7895, DATË 27.1.1995, “KODI PENAL I REPUBLIKËS SË SHQIPËRISË”, TË NDRYSHUAR”</w:t>
      </w:r>
    </w:p>
    <w:p w:rsidR="00740587" w:rsidRDefault="00740587">
      <w:pPr>
        <w:widowControl/>
        <w:spacing w:line="276" w:lineRule="auto"/>
        <w:jc w:val="center"/>
        <w:rPr>
          <w:b/>
          <w:bCs/>
          <w:color w:val="000000"/>
          <w:sz w:val="24"/>
          <w:szCs w:val="24"/>
        </w:rPr>
      </w:pPr>
    </w:p>
    <w:p w:rsidR="00740587" w:rsidRDefault="00740587">
      <w:pPr>
        <w:pBdr>
          <w:top w:val="nil"/>
          <w:left w:val="nil"/>
          <w:bottom w:val="nil"/>
          <w:right w:val="nil"/>
          <w:between w:val="nil"/>
        </w:pBdr>
        <w:spacing w:line="276" w:lineRule="auto"/>
        <w:ind w:left="2071" w:right="2068"/>
        <w:jc w:val="center"/>
        <w:rPr>
          <w:color w:val="000000"/>
          <w:sz w:val="24"/>
          <w:szCs w:val="24"/>
        </w:rPr>
      </w:pPr>
    </w:p>
    <w:p w:rsidR="00740587" w:rsidRDefault="006D28F7">
      <w:pPr>
        <w:pStyle w:val="Heading1"/>
        <w:tabs>
          <w:tab w:val="left" w:pos="834"/>
          <w:tab w:val="left" w:pos="1621"/>
          <w:tab w:val="left" w:pos="2783"/>
          <w:tab w:val="left" w:pos="3520"/>
          <w:tab w:val="left" w:pos="5228"/>
          <w:tab w:val="left" w:pos="5775"/>
          <w:tab w:val="left" w:pos="6816"/>
          <w:tab w:val="left" w:pos="7438"/>
          <w:tab w:val="left" w:pos="8438"/>
        </w:tabs>
        <w:spacing w:line="276" w:lineRule="auto"/>
        <w:ind w:left="23" w:right="19" w:firstLine="0"/>
        <w:rPr>
          <w:b w:val="0"/>
          <w:bCs w:val="0"/>
        </w:rPr>
      </w:pPr>
      <w:r>
        <w:t>Hyrje</w:t>
      </w:r>
    </w:p>
    <w:p w:rsidR="00740587" w:rsidRDefault="00740587">
      <w:pPr>
        <w:pBdr>
          <w:top w:val="nil"/>
          <w:left w:val="nil"/>
          <w:bottom w:val="nil"/>
          <w:right w:val="nil"/>
          <w:between w:val="nil"/>
        </w:pBdr>
        <w:spacing w:line="276" w:lineRule="auto"/>
        <w:ind w:left="23" w:right="18"/>
        <w:jc w:val="both"/>
        <w:rPr>
          <w:color w:val="000000"/>
          <w:sz w:val="24"/>
          <w:szCs w:val="24"/>
        </w:rPr>
      </w:pPr>
    </w:p>
    <w:p w:rsidR="008574AA" w:rsidRDefault="006D28F7">
      <w:pPr>
        <w:pBdr>
          <w:top w:val="nil"/>
          <w:left w:val="nil"/>
          <w:bottom w:val="nil"/>
          <w:right w:val="nil"/>
          <w:between w:val="nil"/>
        </w:pBdr>
        <w:spacing w:line="276" w:lineRule="auto"/>
        <w:ind w:left="23" w:right="18"/>
        <w:jc w:val="both"/>
        <w:rPr>
          <w:color w:val="000000"/>
          <w:sz w:val="24"/>
          <w:szCs w:val="24"/>
        </w:rPr>
      </w:pPr>
      <w:r>
        <w:rPr>
          <w:color w:val="000000"/>
          <w:sz w:val="24"/>
          <w:szCs w:val="24"/>
        </w:rPr>
        <w:t>Komisioni për Çështjet Ligjore dhe Administratën Publike, bazuar në nenet 32-3</w:t>
      </w:r>
      <w:r>
        <w:rPr>
          <w:sz w:val="24"/>
          <w:szCs w:val="24"/>
        </w:rPr>
        <w:t>8</w:t>
      </w:r>
      <w:r>
        <w:rPr>
          <w:color w:val="000000"/>
          <w:sz w:val="24"/>
          <w:szCs w:val="24"/>
        </w:rPr>
        <w:t xml:space="preserve"> të Rregullores së Kuvendit, në mbledhjen e datës 21.1.2026, mori në shqyrtim, në cilësinë e komisionit përgjegjës</w:t>
      </w:r>
    </w:p>
    <w:p w:rsidR="008574AA" w:rsidRDefault="008574AA">
      <w:pPr>
        <w:pBdr>
          <w:top w:val="nil"/>
          <w:left w:val="nil"/>
          <w:bottom w:val="nil"/>
          <w:right w:val="nil"/>
          <w:between w:val="nil"/>
        </w:pBdr>
        <w:spacing w:line="276" w:lineRule="auto"/>
        <w:ind w:left="23" w:right="18"/>
        <w:jc w:val="both"/>
        <w:rPr>
          <w:color w:val="000000"/>
          <w:sz w:val="24"/>
          <w:szCs w:val="24"/>
        </w:rPr>
      </w:pPr>
    </w:p>
    <w:p w:rsidR="008574AA" w:rsidRPr="008574AA" w:rsidRDefault="008574AA" w:rsidP="008574AA">
      <w:pPr>
        <w:pStyle w:val="ListParagraph"/>
        <w:numPr>
          <w:ilvl w:val="0"/>
          <w:numId w:val="11"/>
        </w:numPr>
        <w:pBdr>
          <w:top w:val="nil"/>
          <w:left w:val="nil"/>
          <w:bottom w:val="nil"/>
          <w:right w:val="nil"/>
          <w:between w:val="nil"/>
        </w:pBdr>
        <w:spacing w:line="276" w:lineRule="auto"/>
        <w:ind w:right="18"/>
        <w:jc w:val="both"/>
        <w:rPr>
          <w:b/>
          <w:color w:val="000000"/>
          <w:sz w:val="24"/>
          <w:szCs w:val="24"/>
        </w:rPr>
      </w:pPr>
      <w:r w:rsidRPr="008574AA">
        <w:rPr>
          <w:b/>
          <w:color w:val="000000"/>
          <w:sz w:val="24"/>
          <w:szCs w:val="24"/>
        </w:rPr>
        <w:t xml:space="preserve">projektligjin “Për disa ndryshime dhe shtesa në ligjin nr. 7895, datë 27.1.1995, “Kodi Penal i Republikës së Shqipërisë”, të ndryshuar” propozuar nga </w:t>
      </w:r>
      <w:r w:rsidRPr="008574AA">
        <w:rPr>
          <w:b/>
          <w:sz w:val="24"/>
          <w:szCs w:val="24"/>
        </w:rPr>
        <w:t>deputeti z. Bledi Çomo.</w:t>
      </w:r>
    </w:p>
    <w:p w:rsidR="00740587" w:rsidRPr="008574AA" w:rsidRDefault="006D28F7" w:rsidP="008574AA">
      <w:pPr>
        <w:pStyle w:val="ListParagraph"/>
        <w:numPr>
          <w:ilvl w:val="0"/>
          <w:numId w:val="11"/>
        </w:numPr>
        <w:pBdr>
          <w:top w:val="nil"/>
          <w:left w:val="nil"/>
          <w:bottom w:val="nil"/>
          <w:right w:val="nil"/>
          <w:between w:val="nil"/>
        </w:pBdr>
        <w:spacing w:line="276" w:lineRule="auto"/>
        <w:ind w:right="18"/>
        <w:jc w:val="both"/>
        <w:rPr>
          <w:b/>
          <w:color w:val="000000"/>
          <w:sz w:val="24"/>
          <w:szCs w:val="24"/>
        </w:rPr>
      </w:pPr>
      <w:r w:rsidRPr="008574AA">
        <w:rPr>
          <w:b/>
          <w:color w:val="000000"/>
          <w:sz w:val="24"/>
          <w:szCs w:val="24"/>
        </w:rPr>
        <w:t>projektligjin “Për disa ndryshime dhe shtesa në ligjin nr. 7895, datë 27.1.1995, “Kodi Penal i Republikë</w:t>
      </w:r>
      <w:r w:rsidR="008574AA" w:rsidRPr="008574AA">
        <w:rPr>
          <w:b/>
          <w:color w:val="000000"/>
          <w:sz w:val="24"/>
          <w:szCs w:val="24"/>
        </w:rPr>
        <w:t xml:space="preserve">s së Shqipërisë”, të ndryshuar”, </w:t>
      </w:r>
      <w:r w:rsidRPr="008574AA">
        <w:rPr>
          <w:b/>
          <w:color w:val="000000"/>
          <w:sz w:val="24"/>
          <w:szCs w:val="24"/>
        </w:rPr>
        <w:t>propozi</w:t>
      </w:r>
      <w:r w:rsidR="008574AA" w:rsidRPr="008574AA">
        <w:rPr>
          <w:b/>
          <w:color w:val="000000"/>
          <w:sz w:val="24"/>
          <w:szCs w:val="24"/>
        </w:rPr>
        <w:t xml:space="preserve">m i Këshillit të Ministrave </w:t>
      </w:r>
    </w:p>
    <w:p w:rsidR="00740587" w:rsidRDefault="00740587">
      <w:pPr>
        <w:pBdr>
          <w:top w:val="nil"/>
          <w:left w:val="nil"/>
          <w:bottom w:val="nil"/>
          <w:right w:val="nil"/>
          <w:between w:val="nil"/>
        </w:pBdr>
        <w:spacing w:line="276" w:lineRule="auto"/>
        <w:ind w:left="23" w:right="18"/>
        <w:jc w:val="both"/>
        <w:rPr>
          <w:color w:val="000000"/>
          <w:sz w:val="24"/>
          <w:szCs w:val="24"/>
        </w:rPr>
      </w:pPr>
    </w:p>
    <w:p w:rsidR="00740587" w:rsidRDefault="006D28F7">
      <w:pPr>
        <w:pBdr>
          <w:top w:val="nil"/>
          <w:left w:val="nil"/>
          <w:bottom w:val="nil"/>
          <w:right w:val="nil"/>
          <w:between w:val="nil"/>
        </w:pBdr>
        <w:spacing w:line="276" w:lineRule="auto"/>
        <w:ind w:left="23" w:right="18"/>
        <w:jc w:val="both"/>
        <w:rPr>
          <w:color w:val="000000"/>
          <w:sz w:val="24"/>
          <w:szCs w:val="24"/>
        </w:rPr>
      </w:pPr>
      <w:r>
        <w:rPr>
          <w:color w:val="000000"/>
          <w:sz w:val="24"/>
          <w:szCs w:val="24"/>
        </w:rPr>
        <w:t>Komisioni caktoi relator për shqyrtimin e projektligjit, deputetin Z. Olsi Komici.</w:t>
      </w:r>
    </w:p>
    <w:p w:rsidR="00740587" w:rsidRDefault="00740587">
      <w:pPr>
        <w:pBdr>
          <w:top w:val="nil"/>
          <w:left w:val="nil"/>
          <w:bottom w:val="nil"/>
          <w:right w:val="nil"/>
          <w:between w:val="nil"/>
        </w:pBdr>
        <w:spacing w:line="276" w:lineRule="auto"/>
        <w:ind w:left="23" w:right="18"/>
        <w:jc w:val="both"/>
        <w:rPr>
          <w:color w:val="000000"/>
          <w:sz w:val="24"/>
          <w:szCs w:val="24"/>
        </w:rPr>
      </w:pPr>
    </w:p>
    <w:p w:rsidR="00740587" w:rsidRDefault="008574AA">
      <w:pPr>
        <w:pBdr>
          <w:top w:val="nil"/>
          <w:left w:val="nil"/>
          <w:bottom w:val="nil"/>
          <w:right w:val="nil"/>
          <w:between w:val="nil"/>
        </w:pBdr>
        <w:spacing w:line="276" w:lineRule="auto"/>
        <w:ind w:left="23" w:right="19"/>
        <w:jc w:val="both"/>
        <w:rPr>
          <w:color w:val="000000"/>
          <w:sz w:val="24"/>
          <w:szCs w:val="24"/>
        </w:rPr>
      </w:pPr>
      <w:r>
        <w:rPr>
          <w:color w:val="000000"/>
          <w:sz w:val="24"/>
          <w:szCs w:val="24"/>
        </w:rPr>
        <w:t>Në mbledhjen</w:t>
      </w:r>
      <w:r w:rsidR="006D28F7">
        <w:rPr>
          <w:color w:val="000000"/>
          <w:sz w:val="24"/>
          <w:szCs w:val="24"/>
        </w:rPr>
        <w:t xml:space="preserve"> e Komisionit për të mbrojtur projektligjin dhe për të dhënë shpjegime për pyetjet e anëtarëve të Komisionit ishin prezent: z. Besfort Lamallari, Ministër i Drejtësisë, z. Ismail Shehu, Sekretar i Përgjithshëm dhe Znj. Elsonida Rama, Drejtor i Përgjithshëm i Hartimit dhe Harmonizimit të Legjislacionit dhe nismëtari Z. </w:t>
      </w:r>
      <w:r w:rsidR="006D28F7" w:rsidRPr="006836FC">
        <w:rPr>
          <w:sz w:val="24"/>
          <w:szCs w:val="24"/>
        </w:rPr>
        <w:t xml:space="preserve">Bledi Çomo, </w:t>
      </w:r>
      <w:r w:rsidR="006D28F7">
        <w:rPr>
          <w:color w:val="000000"/>
          <w:sz w:val="24"/>
          <w:szCs w:val="24"/>
        </w:rPr>
        <w:t>i cili u shpreh se nisma e tij me 6 dispozita ishte e reflektuar në propozimin e Këshillit të Ministrave.</w:t>
      </w:r>
    </w:p>
    <w:p w:rsidR="00953D4C" w:rsidRDefault="00953D4C" w:rsidP="00953D4C">
      <w:pPr>
        <w:pStyle w:val="Heading1"/>
        <w:tabs>
          <w:tab w:val="left" w:pos="296"/>
        </w:tabs>
        <w:spacing w:before="124" w:line="276" w:lineRule="auto"/>
        <w:ind w:left="296" w:firstLine="0"/>
      </w:pPr>
    </w:p>
    <w:p w:rsidR="00740587" w:rsidRDefault="006D28F7">
      <w:pPr>
        <w:pStyle w:val="Heading1"/>
        <w:numPr>
          <w:ilvl w:val="0"/>
          <w:numId w:val="1"/>
        </w:numPr>
        <w:tabs>
          <w:tab w:val="left" w:pos="296"/>
        </w:tabs>
        <w:spacing w:before="124" w:line="276" w:lineRule="auto"/>
        <w:ind w:left="296" w:hanging="273"/>
      </w:pPr>
      <w:r>
        <w:t>BAZA KUSHTETUESE E PROJEKTLIGJIT</w:t>
      </w:r>
    </w:p>
    <w:p w:rsidR="00740587" w:rsidRDefault="00740587">
      <w:pPr>
        <w:pStyle w:val="Heading1"/>
        <w:tabs>
          <w:tab w:val="left" w:pos="296"/>
        </w:tabs>
        <w:spacing w:before="124" w:line="276" w:lineRule="auto"/>
        <w:ind w:left="296" w:firstLine="0"/>
        <w:jc w:val="right"/>
      </w:pPr>
    </w:p>
    <w:p w:rsidR="00740587" w:rsidRDefault="006D28F7">
      <w:pPr>
        <w:pBdr>
          <w:top w:val="nil"/>
          <w:left w:val="nil"/>
          <w:bottom w:val="nil"/>
          <w:right w:val="nil"/>
          <w:between w:val="nil"/>
        </w:pBdr>
        <w:spacing w:line="276" w:lineRule="auto"/>
        <w:ind w:left="23" w:right="18"/>
        <w:jc w:val="both"/>
        <w:rPr>
          <w:color w:val="000000"/>
          <w:sz w:val="24"/>
          <w:szCs w:val="24"/>
        </w:rPr>
      </w:pPr>
      <w:r>
        <w:rPr>
          <w:color w:val="000000"/>
          <w:sz w:val="24"/>
          <w:szCs w:val="24"/>
        </w:rPr>
        <w:t>Projektligji i paraqitur për shqyrtim është propozim i Këshillit të Ministrave, bazuar në përcaktimet e nenit 81, pika 2 shkronja “d”, e Kushtetutës.</w:t>
      </w:r>
    </w:p>
    <w:p w:rsidR="00740587" w:rsidRDefault="006D28F7">
      <w:pPr>
        <w:pBdr>
          <w:top w:val="nil"/>
          <w:left w:val="nil"/>
          <w:bottom w:val="nil"/>
          <w:right w:val="nil"/>
          <w:between w:val="nil"/>
        </w:pBdr>
        <w:spacing w:before="120" w:line="276" w:lineRule="auto"/>
        <w:ind w:left="23"/>
        <w:jc w:val="both"/>
        <w:rPr>
          <w:color w:val="000000"/>
          <w:sz w:val="24"/>
          <w:szCs w:val="24"/>
        </w:rPr>
      </w:pPr>
      <w:r>
        <w:rPr>
          <w:color w:val="000000"/>
          <w:sz w:val="24"/>
          <w:szCs w:val="24"/>
        </w:rPr>
        <w:lastRenderedPageBreak/>
        <w:t>Nga ana juridike procedurale, projektligji i nënshtrohet procedurave të parashikuara në nenin 78 dhe nenin 83, pika 1, e Kushtetutës.</w:t>
      </w:r>
    </w:p>
    <w:p w:rsidR="00740587" w:rsidRDefault="006D28F7">
      <w:pPr>
        <w:pBdr>
          <w:top w:val="nil"/>
          <w:left w:val="nil"/>
          <w:bottom w:val="nil"/>
          <w:right w:val="nil"/>
          <w:between w:val="nil"/>
        </w:pBdr>
        <w:spacing w:before="120" w:line="276" w:lineRule="auto"/>
        <w:ind w:left="23"/>
        <w:jc w:val="both"/>
        <w:rPr>
          <w:color w:val="000000"/>
          <w:sz w:val="24"/>
          <w:szCs w:val="24"/>
        </w:rPr>
      </w:pPr>
      <w:r>
        <w:rPr>
          <w:color w:val="000000"/>
          <w:sz w:val="24"/>
          <w:szCs w:val="24"/>
        </w:rPr>
        <w:t>Në aspektin juridik formal-procedural, projektligji shoqërohet me relacionin përkatës, në përputhje e kërkesat e nenit 68 pika 2 të Rregullores së Kuvendit.</w:t>
      </w:r>
    </w:p>
    <w:p w:rsidR="00740587" w:rsidRDefault="006D28F7">
      <w:pPr>
        <w:spacing w:line="276" w:lineRule="auto"/>
        <w:ind w:left="23" w:right="24"/>
        <w:jc w:val="both"/>
        <w:rPr>
          <w:sz w:val="24"/>
          <w:szCs w:val="24"/>
        </w:rPr>
      </w:pPr>
      <w:r>
        <w:rPr>
          <w:sz w:val="24"/>
          <w:szCs w:val="24"/>
        </w:rPr>
        <w:t>Projektligji i propozuar është në përputhje me legjislacionin e brendshëm, si edhe në përputhje me legjislacionin ndërkombëtar.</w:t>
      </w:r>
    </w:p>
    <w:p w:rsidR="00740587" w:rsidRDefault="00740587">
      <w:pPr>
        <w:pStyle w:val="Heading1"/>
        <w:tabs>
          <w:tab w:val="left" w:pos="1103"/>
        </w:tabs>
        <w:spacing w:line="276" w:lineRule="auto"/>
        <w:ind w:left="0" w:firstLine="0"/>
        <w:rPr>
          <w:b w:val="0"/>
          <w:bCs w:val="0"/>
        </w:rPr>
      </w:pPr>
    </w:p>
    <w:p w:rsidR="00740587" w:rsidRDefault="006D28F7">
      <w:pPr>
        <w:pStyle w:val="Heading1"/>
        <w:numPr>
          <w:ilvl w:val="0"/>
          <w:numId w:val="1"/>
        </w:numPr>
        <w:tabs>
          <w:tab w:val="left" w:pos="1103"/>
        </w:tabs>
        <w:spacing w:line="276" w:lineRule="auto"/>
      </w:pPr>
      <w:r>
        <w:t>QËLLIMI I PROJEKTLIGJIT DHE PËRMBAJTJA E TIJ</w:t>
      </w:r>
    </w:p>
    <w:p w:rsidR="00740587" w:rsidRDefault="00740587">
      <w:pPr>
        <w:pStyle w:val="Heading1"/>
        <w:tabs>
          <w:tab w:val="left" w:pos="1103"/>
        </w:tabs>
        <w:spacing w:line="276" w:lineRule="auto"/>
        <w:ind w:firstLine="0"/>
        <w:jc w:val="right"/>
      </w:pPr>
    </w:p>
    <w:p w:rsidR="00740587" w:rsidRDefault="006D28F7">
      <w:pPr>
        <w:widowControl/>
        <w:spacing w:after="160" w:line="259" w:lineRule="auto"/>
        <w:jc w:val="both"/>
        <w:rPr>
          <w:sz w:val="24"/>
          <w:szCs w:val="24"/>
        </w:rPr>
      </w:pPr>
      <w:r>
        <w:rPr>
          <w:sz w:val="24"/>
          <w:szCs w:val="24"/>
        </w:rPr>
        <w:t xml:space="preserve">Procesi i përafrimit të legjislacionit shqiptar me </w:t>
      </w:r>
      <w:r>
        <w:rPr>
          <w:i/>
          <w:iCs/>
          <w:sz w:val="24"/>
          <w:szCs w:val="24"/>
        </w:rPr>
        <w:t xml:space="preserve">acquis communautaire </w:t>
      </w:r>
      <w:r>
        <w:rPr>
          <w:sz w:val="24"/>
          <w:szCs w:val="24"/>
        </w:rPr>
        <w:t>përbën një nga prioritetet themelore të integrimit evropian të Shqipërisë. Në fushën penale, ky proces ka rëndësi të dyfishtë:</w:t>
      </w:r>
    </w:p>
    <w:p w:rsidR="00740587" w:rsidRDefault="006D28F7">
      <w:pPr>
        <w:widowControl/>
        <w:numPr>
          <w:ilvl w:val="0"/>
          <w:numId w:val="3"/>
        </w:numPr>
        <w:spacing w:line="259" w:lineRule="auto"/>
        <w:jc w:val="both"/>
        <w:rPr>
          <w:sz w:val="24"/>
          <w:szCs w:val="24"/>
        </w:rPr>
      </w:pPr>
      <w:r>
        <w:rPr>
          <w:sz w:val="24"/>
          <w:szCs w:val="24"/>
        </w:rPr>
        <w:t>Rrit sigurinë juridike dhe harmonizon standardet e mbrojtjes së të drejtave themelore me ato të Bashkimit Evropian;</w:t>
      </w:r>
    </w:p>
    <w:p w:rsidR="00740587" w:rsidRDefault="006D28F7">
      <w:pPr>
        <w:widowControl/>
        <w:numPr>
          <w:ilvl w:val="0"/>
          <w:numId w:val="3"/>
        </w:numPr>
        <w:spacing w:line="259" w:lineRule="auto"/>
        <w:jc w:val="both"/>
        <w:rPr>
          <w:sz w:val="24"/>
          <w:szCs w:val="24"/>
        </w:rPr>
      </w:pPr>
      <w:r>
        <w:rPr>
          <w:sz w:val="24"/>
          <w:szCs w:val="24"/>
        </w:rPr>
        <w:t>Fuqizon besueshmërinë e sistemit tonë penal në luftën kundër kriminalitetit të organizuar, korrupsionit, pastrimit të parave, terrorizmit dhe formave të tjera të kriminalitetit transnacional.</w:t>
      </w:r>
    </w:p>
    <w:p w:rsidR="00740587" w:rsidRDefault="00740587">
      <w:pPr>
        <w:widowControl/>
        <w:spacing w:line="259" w:lineRule="auto"/>
        <w:ind w:left="720"/>
        <w:jc w:val="both"/>
        <w:rPr>
          <w:sz w:val="24"/>
          <w:szCs w:val="24"/>
        </w:rPr>
      </w:pPr>
    </w:p>
    <w:p w:rsidR="00740587" w:rsidRDefault="006D28F7">
      <w:pPr>
        <w:widowControl/>
        <w:spacing w:after="160" w:line="259" w:lineRule="auto"/>
        <w:jc w:val="both"/>
        <w:rPr>
          <w:sz w:val="24"/>
          <w:szCs w:val="24"/>
        </w:rPr>
      </w:pPr>
      <w:r>
        <w:rPr>
          <w:sz w:val="24"/>
          <w:szCs w:val="24"/>
        </w:rPr>
        <w:t>Ky projektligj synon përafrimin e Kodit Penal me shtatë akte kryesore të Bashkimit Evropian mbi politikën penale të BE-së në luftën kundër krimit të organizuar dhe në mbrojtjen e viktimave.</w:t>
      </w:r>
    </w:p>
    <w:p w:rsidR="00740587" w:rsidRDefault="006D28F7">
      <w:pPr>
        <w:widowControl/>
        <w:spacing w:after="160" w:line="259" w:lineRule="auto"/>
        <w:jc w:val="both"/>
        <w:rPr>
          <w:sz w:val="24"/>
          <w:szCs w:val="24"/>
        </w:rPr>
      </w:pPr>
      <w:r>
        <w:rPr>
          <w:sz w:val="24"/>
          <w:szCs w:val="24"/>
        </w:rPr>
        <w:t xml:space="preserve">Në kontekstin e procesit të anëtarësimit në BE, sipas kapitullit 24: “Drejtësia, liria dhe siguria”, Shqipëria duhet të transpozojë, ndër të tjera, </w:t>
      </w:r>
      <w:r>
        <w:rPr>
          <w:i/>
          <w:iCs/>
          <w:sz w:val="24"/>
          <w:szCs w:val="24"/>
        </w:rPr>
        <w:t xml:space="preserve">acquis </w:t>
      </w:r>
      <w:r>
        <w:rPr>
          <w:sz w:val="24"/>
          <w:szCs w:val="24"/>
        </w:rPr>
        <w:t>të BE-së në lidhje me fushat e pastrimit të parave, terrorizmit, trafikut të drogërave, viktimave e trafikimit të qenieve njerëzore dhe mbrojtjes së tyre, abuzimit seksual dhe shfrytëzimit seksual të fëmijëve dhe pornografisë së fëmijëve.</w:t>
      </w:r>
    </w:p>
    <w:p w:rsidR="00740587" w:rsidRDefault="006D28F7">
      <w:pPr>
        <w:widowControl/>
        <w:spacing w:after="160" w:line="259" w:lineRule="auto"/>
        <w:jc w:val="both"/>
        <w:rPr>
          <w:sz w:val="24"/>
          <w:szCs w:val="24"/>
        </w:rPr>
      </w:pPr>
      <w:r>
        <w:rPr>
          <w:sz w:val="24"/>
          <w:szCs w:val="24"/>
        </w:rPr>
        <w:t>Këto akte ligjore të BE-së duhet të transpozohen, ndër të tjera, edhe në Kodin Penal. Përafrimi i këtyre akteve vjen në vazhdën e përmbushjes së detyrimeve të ndërmarra në kuadër të piketave të ndërmjetme të cilat duhet të përmbushën brenda vitit 2025.</w:t>
      </w:r>
    </w:p>
    <w:p w:rsidR="00740587" w:rsidRDefault="006D28F7">
      <w:pPr>
        <w:widowControl/>
        <w:spacing w:after="160" w:line="259" w:lineRule="auto"/>
        <w:jc w:val="both"/>
        <w:rPr>
          <w:sz w:val="24"/>
          <w:szCs w:val="24"/>
        </w:rPr>
      </w:pPr>
      <w:r>
        <w:rPr>
          <w:sz w:val="24"/>
          <w:szCs w:val="24"/>
        </w:rPr>
        <w:t>Përmes këtyre ndryshimeve synohet të arrihen objektivat e mëposhtëm:</w:t>
      </w:r>
    </w:p>
    <w:p w:rsidR="00740587" w:rsidRDefault="006D28F7">
      <w:pPr>
        <w:widowControl/>
        <w:numPr>
          <w:ilvl w:val="0"/>
          <w:numId w:val="8"/>
        </w:numPr>
        <w:spacing w:line="259" w:lineRule="auto"/>
        <w:jc w:val="both"/>
        <w:rPr>
          <w:sz w:val="24"/>
          <w:szCs w:val="24"/>
        </w:rPr>
      </w:pPr>
      <w:r>
        <w:rPr>
          <w:sz w:val="24"/>
          <w:szCs w:val="24"/>
        </w:rPr>
        <w:t>Përmbushja e piketave të ndërmjetme në kuadër të integrimit të vendit në BE;</w:t>
      </w:r>
    </w:p>
    <w:p w:rsidR="00740587" w:rsidRDefault="006D28F7">
      <w:pPr>
        <w:widowControl/>
        <w:numPr>
          <w:ilvl w:val="0"/>
          <w:numId w:val="8"/>
        </w:numPr>
        <w:spacing w:line="259" w:lineRule="auto"/>
        <w:jc w:val="both"/>
        <w:rPr>
          <w:sz w:val="24"/>
          <w:szCs w:val="24"/>
        </w:rPr>
      </w:pPr>
      <w:r>
        <w:rPr>
          <w:sz w:val="24"/>
          <w:szCs w:val="24"/>
        </w:rPr>
        <w:t>Adresimi i boshllëqeve, rasteve të transpozimit të paplotë ose të pasaktë në Kodin Penal në fuqi.</w:t>
      </w:r>
    </w:p>
    <w:p w:rsidR="00740587" w:rsidRDefault="006D28F7">
      <w:pPr>
        <w:widowControl/>
        <w:numPr>
          <w:ilvl w:val="0"/>
          <w:numId w:val="8"/>
        </w:numPr>
        <w:spacing w:line="259" w:lineRule="auto"/>
        <w:jc w:val="both"/>
        <w:rPr>
          <w:sz w:val="24"/>
          <w:szCs w:val="24"/>
        </w:rPr>
      </w:pPr>
      <w:r>
        <w:rPr>
          <w:sz w:val="24"/>
          <w:szCs w:val="24"/>
        </w:rPr>
        <w:t>Sigurimi i transpozimit të plotë të Kodit Penal me shtatë aktet ligjore të BE-së për përmbushjen e piketave të ndërmjetme.</w:t>
      </w:r>
    </w:p>
    <w:p w:rsidR="00740587" w:rsidRDefault="00740587">
      <w:pPr>
        <w:widowControl/>
        <w:spacing w:line="259" w:lineRule="auto"/>
        <w:ind w:left="720"/>
        <w:jc w:val="both"/>
        <w:rPr>
          <w:sz w:val="24"/>
          <w:szCs w:val="24"/>
        </w:rPr>
      </w:pPr>
    </w:p>
    <w:p w:rsidR="00740587" w:rsidRDefault="006D28F7">
      <w:pPr>
        <w:widowControl/>
        <w:spacing w:after="160" w:line="259" w:lineRule="auto"/>
        <w:jc w:val="both"/>
        <w:rPr>
          <w:sz w:val="24"/>
          <w:szCs w:val="24"/>
        </w:rPr>
      </w:pPr>
      <w:r>
        <w:rPr>
          <w:sz w:val="24"/>
          <w:szCs w:val="24"/>
        </w:rPr>
        <w:t>Ndërkohë, pjesë e projektligjit janë edhe ndryshimet që propozohen të kryhen në kuadër të marrjes së masave të menjëhershme për adresimin e fenonemeve të ndërtimeve pa leje, e zënies së hapësirave publike dhe të zjarrvënies, të hasura së fundi. Këto ndryshime synojnë që të ndëshkojnë dhe të parandalojnë veprat penale që rrjedhin si pasojë e shkeljes së legjislacionit për ndërtimin, si dhe të mbrojnë pronën private dhe publike.</w:t>
      </w:r>
    </w:p>
    <w:p w:rsidR="00740587" w:rsidRDefault="006D28F7">
      <w:pPr>
        <w:widowControl/>
        <w:spacing w:after="160" w:line="259" w:lineRule="auto"/>
        <w:jc w:val="both"/>
        <w:rPr>
          <w:sz w:val="24"/>
          <w:szCs w:val="24"/>
        </w:rPr>
      </w:pPr>
      <w:r>
        <w:rPr>
          <w:sz w:val="24"/>
          <w:szCs w:val="24"/>
        </w:rPr>
        <w:t xml:space="preserve">Ky projektligj synon të forcojë mbrojtjen e territorit dhe të pasurive kombëtare përmes ndërhyrjes në Kodin Penal lidhur me ndërtimet e paligjshme, zënien e tokave dhe zjarrvënien. Qëllimi është të ndëshkohen me rreptësi më të lartë veprimet që dëmtojnë mjedisin, pronën </w:t>
      </w:r>
      <w:r>
        <w:rPr>
          <w:sz w:val="24"/>
          <w:szCs w:val="24"/>
        </w:rPr>
        <w:lastRenderedPageBreak/>
        <w:t>publike e private, trashëgiminë kulturore dhe infrastrukturën kritike, duke rritur njëkohësisht efektin parandalues të ligjit penal.</w:t>
      </w:r>
    </w:p>
    <w:p w:rsidR="00740587" w:rsidRDefault="006D28F7">
      <w:pPr>
        <w:spacing w:before="321"/>
        <w:ind w:right="22"/>
        <w:jc w:val="both"/>
        <w:rPr>
          <w:sz w:val="24"/>
          <w:szCs w:val="24"/>
        </w:rPr>
      </w:pPr>
      <w:r>
        <w:rPr>
          <w:sz w:val="24"/>
          <w:szCs w:val="24"/>
        </w:rPr>
        <w:t>Ky projektligj synon të përfshijë në Kodin Penal veprën e parkimit të mjetit në rresht të dytë, përveç rasteve të specifikuara, kur ky veprim pengon qartë lëvizjen e automjeteve në shërbim të policisë, zjarrfikësve, autoambulancave ose shërbimeve të tjera të institucioneve publike, duke shkaktuar bllokim total të rrugës ose pengesë serioze për këmbësorët.</w:t>
      </w:r>
    </w:p>
    <w:p w:rsidR="00740587" w:rsidRDefault="00740587">
      <w:pPr>
        <w:spacing w:before="1"/>
        <w:rPr>
          <w:sz w:val="24"/>
          <w:szCs w:val="24"/>
        </w:rPr>
      </w:pPr>
    </w:p>
    <w:p w:rsidR="00740587" w:rsidRDefault="006D28F7">
      <w:pPr>
        <w:ind w:right="27"/>
        <w:jc w:val="both"/>
        <w:rPr>
          <w:sz w:val="24"/>
          <w:szCs w:val="24"/>
        </w:rPr>
      </w:pPr>
      <w:r>
        <w:rPr>
          <w:sz w:val="24"/>
          <w:szCs w:val="24"/>
        </w:rPr>
        <w:t>Në kontekstin e përmirësimit të sigurisë rrugore dhe të efektivitetit të shërbimeve emergjente, ky projektakt ka për qëllim të sanksionojë veprimet që rrezikojnë drejtpërdrejt jetën dhe shëndetin e qytetarëve, duke rritur njëkohësisht efektin parandalues të ligjit penal.</w:t>
      </w:r>
    </w:p>
    <w:p w:rsidR="00740587" w:rsidRDefault="00740587">
      <w:pPr>
        <w:ind w:left="165"/>
        <w:jc w:val="both"/>
        <w:rPr>
          <w:sz w:val="24"/>
          <w:szCs w:val="24"/>
        </w:rPr>
      </w:pPr>
    </w:p>
    <w:p w:rsidR="00740587" w:rsidRDefault="006D28F7">
      <w:pPr>
        <w:spacing w:before="76"/>
        <w:jc w:val="both"/>
        <w:rPr>
          <w:sz w:val="24"/>
          <w:szCs w:val="24"/>
        </w:rPr>
      </w:pPr>
      <w:r>
        <w:rPr>
          <w:sz w:val="24"/>
          <w:szCs w:val="24"/>
        </w:rPr>
        <w:t>Objektivat kryesorë që synohen të arrihen:</w:t>
      </w:r>
    </w:p>
    <w:p w:rsidR="00740587" w:rsidRDefault="006D28F7">
      <w:pPr>
        <w:numPr>
          <w:ilvl w:val="0"/>
          <w:numId w:val="9"/>
        </w:numPr>
        <w:tabs>
          <w:tab w:val="left" w:pos="702"/>
          <w:tab w:val="left" w:pos="705"/>
        </w:tabs>
        <w:spacing w:line="242" w:lineRule="auto"/>
        <w:ind w:right="25"/>
        <w:jc w:val="both"/>
        <w:rPr>
          <w:sz w:val="24"/>
          <w:szCs w:val="24"/>
        </w:rPr>
      </w:pPr>
      <w:r>
        <w:rPr>
          <w:sz w:val="24"/>
          <w:szCs w:val="24"/>
        </w:rPr>
        <w:t>Rritja e sigurisë rrugore dhe mbrojtja e jetës së qytetarëve duke ndëshkuar parkimin në rresht të dytë që pengon qarkullimin e mjeteve emergjente;</w:t>
      </w:r>
    </w:p>
    <w:p w:rsidR="00740587" w:rsidRDefault="006D28F7">
      <w:pPr>
        <w:numPr>
          <w:ilvl w:val="0"/>
          <w:numId w:val="9"/>
        </w:numPr>
        <w:tabs>
          <w:tab w:val="left" w:pos="705"/>
        </w:tabs>
        <w:ind w:right="28"/>
        <w:jc w:val="both"/>
        <w:rPr>
          <w:sz w:val="24"/>
          <w:szCs w:val="24"/>
        </w:rPr>
      </w:pPr>
      <w:r>
        <w:rPr>
          <w:sz w:val="24"/>
          <w:szCs w:val="24"/>
        </w:rPr>
        <w:t>Parandalimi i bllokimeve totale të rrugëve dhe pengesave serioze për këmbësorët, duke mbështetur lëvizjen e lirë dhe të sigurt të qytetarëve;</w:t>
      </w:r>
    </w:p>
    <w:p w:rsidR="00740587" w:rsidRDefault="006D28F7">
      <w:pPr>
        <w:numPr>
          <w:ilvl w:val="0"/>
          <w:numId w:val="9"/>
        </w:numPr>
        <w:tabs>
          <w:tab w:val="left" w:pos="705"/>
        </w:tabs>
        <w:ind w:right="28"/>
        <w:jc w:val="both"/>
        <w:rPr>
          <w:sz w:val="24"/>
          <w:szCs w:val="24"/>
        </w:rPr>
      </w:pPr>
      <w:r>
        <w:rPr>
          <w:sz w:val="24"/>
          <w:szCs w:val="24"/>
        </w:rPr>
        <w:t>Forcimi i efektit parandalues të ligjit penal në mënyrë që qytetarët të respektojnë hapësirat e qarkullimit dhe të kontribuojnë në sigurinë publike;</w:t>
      </w:r>
    </w:p>
    <w:p w:rsidR="00740587" w:rsidRDefault="006D28F7">
      <w:pPr>
        <w:numPr>
          <w:ilvl w:val="0"/>
          <w:numId w:val="9"/>
        </w:numPr>
        <w:tabs>
          <w:tab w:val="left" w:pos="705"/>
        </w:tabs>
        <w:ind w:right="29"/>
        <w:jc w:val="both"/>
        <w:rPr>
          <w:sz w:val="24"/>
          <w:szCs w:val="24"/>
        </w:rPr>
      </w:pPr>
      <w:r>
        <w:rPr>
          <w:sz w:val="24"/>
          <w:szCs w:val="24"/>
        </w:rPr>
        <w:t>Sigurimi i një kuadri ligjor të qartë dhe të efektshëm për institucionet e zbatimit të ligjit, duke mundësuar ndërhyrje të shpejta dhe të efektshme në situata emergjente.</w:t>
      </w:r>
    </w:p>
    <w:p w:rsidR="00740587" w:rsidRDefault="006D28F7">
      <w:pPr>
        <w:widowControl/>
        <w:spacing w:before="317" w:after="120" w:line="276" w:lineRule="auto"/>
        <w:ind w:right="18"/>
        <w:jc w:val="both"/>
        <w:rPr>
          <w:sz w:val="24"/>
          <w:szCs w:val="24"/>
        </w:rPr>
      </w:pPr>
      <w:r>
        <w:rPr>
          <w:sz w:val="24"/>
          <w:szCs w:val="24"/>
        </w:rPr>
        <w:t>Gjithashtu, pjesë e këtij projektligji janë edhe dispozita që kanë për qëllim rritjen e mbrojtjes ndaj gazetarëve, duke luajtur një rol shumë të rëndësishëm për lirinë e medias, si një kërkesë e vazhdueshme e BE-së dhe Udhërrëfyesit për Shtetin e së Drejtës, miratuar me vendimin nr.736, datë 13.12.2023, të Këshillit të Ministrave. Në këtë mënyrë, krijohet një klimë më e favorshme për gazetarinë kritike dhe hetimore, duke iu dhënë gazetarëve hapësirën e nevojshme për të trajtuar çështje me interes publik pa u ndjerë të kërcënuar. Ky hap njëkohësisht përfaqëson një përpjekje të qartë për t’u përafruar me standardet evropiane. Paralelisht me këtë reformë, ndryshimet e propozuara në nenet 120, 237 dhe 238 të Kodit Penal synojnë të forcojnë mbrojtjen për gazetarët gjatë ushtrimit të profesionit. Shtimi i paragrafëve të posaçëm në këto nene e njeh qartë rolin e gazetarit si një aktor publik që shpesh përballet me kërcënime, dhunë apo pengesa, veçanërisht kur raporton në terren apo investigon çështje të ndjeshme. Me këto ndryshime, sulmi, kërcënimi apo intimidimi ndaj një gazetari do të trajtohet me të njëjtin seriozitet si ai ndaj një punonjësi shteti, duke rritur dukshëm mbrojtjen ligjore dhe sigurinë e tyre fizike. Kjo dërgon një sinjal të fortë institucional se shteti angazhohet të garantojë integritetin dhe pavarësinë e profesionit të gazetarit, ashtu siç kërkohet edhe nga standardet dhe rekomandimet e BE-së për sigurinë e profesionistëve të medias.</w:t>
      </w:r>
    </w:p>
    <w:p w:rsidR="00740587" w:rsidRDefault="006D28F7">
      <w:pPr>
        <w:spacing w:before="316"/>
        <w:ind w:right="20"/>
        <w:jc w:val="both"/>
        <w:rPr>
          <w:sz w:val="24"/>
          <w:szCs w:val="24"/>
        </w:rPr>
      </w:pPr>
      <w:r>
        <w:rPr>
          <w:sz w:val="24"/>
          <w:szCs w:val="24"/>
        </w:rPr>
        <w:t>Nisma për ndryshimin e Kodit Penal është ndërmarrë në kuadër të përafrimit të legjislacionit kombëtar në fushat e pastrimit të parave, luftën ndaj terrorizmit, trafikut të paligjshëm të drogave, trafikimit të qenieve njerëzore dhe mbrojtjes së viktimave të tij, abuzimit seksual dhe shfrytëzimit seksual të fëmijëve dhe pornografisë së fëmijëve. Në angazhimet e ndërmarra nga Republika e Shqipërisë, përafrimi i këtyre akteve është parashikuar të kryhet brenda vitit 2025, prandaj edhe nisma për përafrimin e tyre po ndërmerret pavarësisht angazhimit të Ministrisë së Drejtësisë për hartimin e një Kodi të ri Penal.</w:t>
      </w:r>
    </w:p>
    <w:p w:rsidR="00740587" w:rsidRDefault="00740587">
      <w:pPr>
        <w:spacing w:line="276" w:lineRule="auto"/>
        <w:jc w:val="both"/>
        <w:rPr>
          <w:sz w:val="24"/>
          <w:szCs w:val="24"/>
        </w:rPr>
      </w:pPr>
    </w:p>
    <w:p w:rsidR="00740587" w:rsidRDefault="00740587">
      <w:pPr>
        <w:spacing w:line="276" w:lineRule="auto"/>
        <w:jc w:val="both"/>
        <w:rPr>
          <w:sz w:val="24"/>
          <w:szCs w:val="24"/>
        </w:rPr>
      </w:pPr>
    </w:p>
    <w:p w:rsidR="00740587" w:rsidRDefault="006D28F7">
      <w:pPr>
        <w:numPr>
          <w:ilvl w:val="0"/>
          <w:numId w:val="1"/>
        </w:numPr>
        <w:pBdr>
          <w:top w:val="nil"/>
          <w:left w:val="nil"/>
          <w:bottom w:val="nil"/>
          <w:right w:val="nil"/>
          <w:between w:val="nil"/>
        </w:pBdr>
        <w:tabs>
          <w:tab w:val="left" w:pos="1103"/>
          <w:tab w:val="left" w:pos="2821"/>
          <w:tab w:val="left" w:pos="3257"/>
          <w:tab w:val="left" w:pos="4898"/>
          <w:tab w:val="left" w:pos="5537"/>
          <w:tab w:val="left" w:pos="7422"/>
          <w:tab w:val="left" w:pos="8158"/>
        </w:tabs>
        <w:spacing w:before="125" w:line="276" w:lineRule="auto"/>
        <w:ind w:left="1103" w:right="18" w:hanging="720"/>
        <w:rPr>
          <w:b/>
          <w:bCs/>
          <w:i/>
          <w:iCs/>
          <w:color w:val="000000"/>
          <w:sz w:val="24"/>
          <w:szCs w:val="24"/>
        </w:rPr>
      </w:pPr>
      <w:r>
        <w:rPr>
          <w:b/>
          <w:bCs/>
          <w:color w:val="000000"/>
          <w:sz w:val="24"/>
          <w:szCs w:val="24"/>
        </w:rPr>
        <w:t>VLERËSIMI</w:t>
      </w:r>
      <w:r>
        <w:rPr>
          <w:b/>
          <w:bCs/>
          <w:color w:val="000000"/>
          <w:sz w:val="24"/>
          <w:szCs w:val="24"/>
        </w:rPr>
        <w:tab/>
        <w:t>I</w:t>
      </w:r>
      <w:r>
        <w:rPr>
          <w:b/>
          <w:bCs/>
          <w:color w:val="000000"/>
          <w:sz w:val="24"/>
          <w:szCs w:val="24"/>
        </w:rPr>
        <w:tab/>
        <w:t>SHKALLËS</w:t>
      </w:r>
      <w:r>
        <w:rPr>
          <w:b/>
          <w:bCs/>
          <w:color w:val="000000"/>
          <w:sz w:val="24"/>
          <w:szCs w:val="24"/>
        </w:rPr>
        <w:tab/>
        <w:t>SË</w:t>
      </w:r>
      <w:r>
        <w:rPr>
          <w:b/>
          <w:bCs/>
          <w:color w:val="000000"/>
          <w:sz w:val="24"/>
          <w:szCs w:val="24"/>
        </w:rPr>
        <w:tab/>
        <w:t>PËRAFRIMIT</w:t>
      </w:r>
      <w:r>
        <w:rPr>
          <w:b/>
          <w:bCs/>
          <w:color w:val="000000"/>
          <w:sz w:val="24"/>
          <w:szCs w:val="24"/>
        </w:rPr>
        <w:tab/>
        <w:t>ME</w:t>
      </w:r>
      <w:r>
        <w:rPr>
          <w:b/>
          <w:bCs/>
          <w:color w:val="000000"/>
          <w:sz w:val="24"/>
          <w:szCs w:val="24"/>
        </w:rPr>
        <w:tab/>
      </w:r>
      <w:r>
        <w:rPr>
          <w:b/>
          <w:bCs/>
          <w:i/>
          <w:iCs/>
          <w:color w:val="000000"/>
          <w:sz w:val="24"/>
          <w:szCs w:val="24"/>
        </w:rPr>
        <w:t xml:space="preserve">ACQUIS </w:t>
      </w:r>
      <w:r>
        <w:rPr>
          <w:b/>
          <w:bCs/>
          <w:i/>
          <w:iCs/>
          <w:color w:val="000000"/>
          <w:sz w:val="24"/>
          <w:szCs w:val="24"/>
        </w:rPr>
        <w:lastRenderedPageBreak/>
        <w:t>COMMUNAUTAIRE</w:t>
      </w:r>
    </w:p>
    <w:p w:rsidR="00740587" w:rsidRDefault="00740587">
      <w:pPr>
        <w:tabs>
          <w:tab w:val="left" w:pos="1103"/>
          <w:tab w:val="left" w:pos="2821"/>
          <w:tab w:val="left" w:pos="3257"/>
          <w:tab w:val="left" w:pos="4898"/>
          <w:tab w:val="left" w:pos="5537"/>
          <w:tab w:val="left" w:pos="7422"/>
          <w:tab w:val="left" w:pos="8158"/>
        </w:tabs>
        <w:spacing w:line="276" w:lineRule="auto"/>
        <w:ind w:right="18"/>
        <w:rPr>
          <w:sz w:val="24"/>
          <w:szCs w:val="24"/>
        </w:rPr>
      </w:pPr>
    </w:p>
    <w:p w:rsidR="00740587" w:rsidRDefault="006D28F7">
      <w:pPr>
        <w:jc w:val="both"/>
        <w:rPr>
          <w:sz w:val="24"/>
          <w:szCs w:val="24"/>
        </w:rPr>
      </w:pPr>
      <w:r>
        <w:rPr>
          <w:sz w:val="24"/>
          <w:szCs w:val="24"/>
        </w:rPr>
        <w:t>Aktet e BE-së që përafrohen në Kodin Penal janë, si më poshtë:</w:t>
      </w:r>
    </w:p>
    <w:p w:rsidR="00740587" w:rsidRDefault="006D28F7">
      <w:pPr>
        <w:numPr>
          <w:ilvl w:val="0"/>
          <w:numId w:val="10"/>
        </w:numPr>
        <w:tabs>
          <w:tab w:val="left" w:pos="439"/>
        </w:tabs>
        <w:spacing w:before="321"/>
        <w:ind w:right="21"/>
        <w:jc w:val="both"/>
        <w:rPr>
          <w:sz w:val="24"/>
          <w:szCs w:val="24"/>
        </w:rPr>
      </w:pPr>
      <w:r>
        <w:rPr>
          <w:sz w:val="24"/>
          <w:szCs w:val="24"/>
        </w:rPr>
        <w:t>Vendimi Kuadër i Këshillit 2001/500/JHA i 26 qershorit 2001 mbi pastrimin e parave, identifikimin, gjurmimin, ngrirjen, sekuestrimin dhe konfiskimin e instrumenteve dhe të ardhurave nga krimi;</w:t>
      </w:r>
    </w:p>
    <w:p w:rsidR="00740587" w:rsidRDefault="006D28F7">
      <w:pPr>
        <w:numPr>
          <w:ilvl w:val="0"/>
          <w:numId w:val="10"/>
        </w:numPr>
        <w:tabs>
          <w:tab w:val="left" w:pos="498"/>
        </w:tabs>
        <w:spacing w:before="2"/>
        <w:ind w:right="23"/>
        <w:jc w:val="both"/>
        <w:rPr>
          <w:sz w:val="24"/>
          <w:szCs w:val="24"/>
        </w:rPr>
      </w:pPr>
      <w:r>
        <w:rPr>
          <w:sz w:val="24"/>
          <w:szCs w:val="24"/>
        </w:rPr>
        <w:t>Vendimi Kuadër i Këshillit 2004/757/JHA i 25 tetorit 2004 që përcakton dispozitat minimale mbi elementet përbërëse të veprave penale dhe dënimet në fushën e trafikimit të paligjshëm të drogës;</w:t>
      </w:r>
    </w:p>
    <w:p w:rsidR="00740587" w:rsidRDefault="006D28F7">
      <w:pPr>
        <w:numPr>
          <w:ilvl w:val="0"/>
          <w:numId w:val="10"/>
        </w:numPr>
        <w:tabs>
          <w:tab w:val="left" w:pos="458"/>
        </w:tabs>
        <w:ind w:right="25"/>
        <w:jc w:val="both"/>
        <w:rPr>
          <w:sz w:val="24"/>
          <w:szCs w:val="24"/>
        </w:rPr>
      </w:pPr>
      <w:r>
        <w:rPr>
          <w:sz w:val="24"/>
          <w:szCs w:val="24"/>
        </w:rPr>
        <w:t>Direktiva 2011/36/BE e Parlamentit Evropian dhe e Këshillit e 5 prillit 2011 për parandalimin dhe luftimin e trafikimit të qenieve njerëzore dhe mbrojtjen e viktimave të tij dhe që zëvendëson vendimin kornizë të Këshillit 2002/629/JHA;</w:t>
      </w:r>
    </w:p>
    <w:p w:rsidR="00740587" w:rsidRDefault="006D28F7">
      <w:pPr>
        <w:numPr>
          <w:ilvl w:val="0"/>
          <w:numId w:val="10"/>
        </w:numPr>
        <w:tabs>
          <w:tab w:val="left" w:pos="474"/>
        </w:tabs>
        <w:ind w:right="22"/>
        <w:jc w:val="both"/>
        <w:rPr>
          <w:sz w:val="24"/>
          <w:szCs w:val="24"/>
        </w:rPr>
      </w:pPr>
      <w:r>
        <w:rPr>
          <w:sz w:val="24"/>
          <w:szCs w:val="24"/>
        </w:rPr>
        <w:t>Direktiva 2011/93/BE e Parlamentit Evropian dhe e Këshillit e 13 dhjetorit 2011 për luftimin e abuzimit seksual dhe shfrytëzimit seksual të fëmijëve dhe pornografisë së fëmijëve dhe që zëvendëson vendimin kornizë të Këshillit 2004/68/JHA;</w:t>
      </w:r>
    </w:p>
    <w:p w:rsidR="00740587" w:rsidRDefault="006D28F7">
      <w:pPr>
        <w:numPr>
          <w:ilvl w:val="0"/>
          <w:numId w:val="10"/>
        </w:numPr>
        <w:tabs>
          <w:tab w:val="left" w:pos="477"/>
        </w:tabs>
        <w:ind w:right="20"/>
        <w:jc w:val="both"/>
        <w:rPr>
          <w:sz w:val="24"/>
          <w:szCs w:val="24"/>
        </w:rPr>
      </w:pPr>
      <w:r>
        <w:rPr>
          <w:sz w:val="24"/>
          <w:szCs w:val="24"/>
        </w:rPr>
        <w:t>Direktiva (BE) 2015/849 e Parlamentit Evropian dhe e Këshillit e 20 majit 2015 mbi parandalimin e përdorimit të sistemit financiar për qëllime të pastrimit të parave ose financimit të terrorizmit, që ndryshon rregulloren (BE) nr.648/2012 të Parlamentit Evropian dhe të Këshillit dhe shfuqizon direktivën 2005/60/KE të Parlamentit Evropian dhe të Këshillit dhe direktivën e Komisionit 2006/70/KE;</w:t>
      </w:r>
    </w:p>
    <w:p w:rsidR="00740587" w:rsidRDefault="006D28F7">
      <w:pPr>
        <w:numPr>
          <w:ilvl w:val="0"/>
          <w:numId w:val="10"/>
        </w:numPr>
        <w:tabs>
          <w:tab w:val="left" w:pos="467"/>
        </w:tabs>
        <w:ind w:right="17"/>
        <w:jc w:val="both"/>
        <w:rPr>
          <w:sz w:val="24"/>
          <w:szCs w:val="24"/>
        </w:rPr>
      </w:pPr>
      <w:r>
        <w:rPr>
          <w:sz w:val="24"/>
          <w:szCs w:val="24"/>
        </w:rPr>
        <w:t>Direktiva (BE) 2017/541 e Parlamentit Evropian dhe e Këshillit e 15 marsit 2017 për luftën kundër terrorizmit dhe zëvendësimin e vendimit kuadër të Këshillit 2002/475/JHA dhe ndryshimin e vendimit të Këshillit 2005/671/JHA;</w:t>
      </w:r>
    </w:p>
    <w:p w:rsidR="00740587" w:rsidRDefault="006D28F7">
      <w:pPr>
        <w:numPr>
          <w:ilvl w:val="0"/>
          <w:numId w:val="10"/>
        </w:numPr>
        <w:tabs>
          <w:tab w:val="left" w:pos="458"/>
        </w:tabs>
        <w:spacing w:line="242" w:lineRule="auto"/>
        <w:ind w:right="29"/>
        <w:jc w:val="both"/>
        <w:rPr>
          <w:sz w:val="24"/>
          <w:szCs w:val="24"/>
        </w:rPr>
      </w:pPr>
      <w:r>
        <w:rPr>
          <w:sz w:val="24"/>
          <w:szCs w:val="24"/>
        </w:rPr>
        <w:t>Direktiva (BE) 2018/1673 e Parlamentit Evropian dhe e Këshillit e 23 tetorit 2018 për luftën kundër pastrimit të parave me anë të ligjit penal.</w:t>
      </w:r>
    </w:p>
    <w:p w:rsidR="00740587" w:rsidRDefault="00740587">
      <w:pPr>
        <w:spacing w:line="242" w:lineRule="auto"/>
        <w:jc w:val="both"/>
        <w:rPr>
          <w:sz w:val="24"/>
          <w:szCs w:val="24"/>
        </w:rPr>
      </w:pPr>
    </w:p>
    <w:p w:rsidR="00740587" w:rsidRDefault="00740587">
      <w:pPr>
        <w:tabs>
          <w:tab w:val="left" w:pos="1103"/>
          <w:tab w:val="left" w:pos="2821"/>
          <w:tab w:val="left" w:pos="3257"/>
          <w:tab w:val="left" w:pos="4898"/>
          <w:tab w:val="left" w:pos="5537"/>
          <w:tab w:val="left" w:pos="7422"/>
          <w:tab w:val="left" w:pos="8158"/>
        </w:tabs>
        <w:spacing w:line="276" w:lineRule="auto"/>
        <w:ind w:right="18"/>
        <w:rPr>
          <w:sz w:val="24"/>
          <w:szCs w:val="24"/>
        </w:rPr>
      </w:pPr>
    </w:p>
    <w:p w:rsidR="00740587" w:rsidRDefault="006D28F7">
      <w:pPr>
        <w:pStyle w:val="Heading1"/>
        <w:numPr>
          <w:ilvl w:val="0"/>
          <w:numId w:val="1"/>
        </w:numPr>
        <w:tabs>
          <w:tab w:val="left" w:pos="1103"/>
        </w:tabs>
        <w:spacing w:before="161" w:line="276" w:lineRule="auto"/>
        <w:ind w:left="1103" w:hanging="720"/>
      </w:pPr>
      <w:r>
        <w:t>RAPORTI I VLERËSIMIT TË SHPENZIMEVE BUXHETORE</w:t>
      </w:r>
    </w:p>
    <w:p w:rsidR="00740587" w:rsidRDefault="006D28F7">
      <w:pPr>
        <w:spacing w:before="316"/>
        <w:jc w:val="both"/>
        <w:rPr>
          <w:sz w:val="24"/>
          <w:szCs w:val="24"/>
        </w:rPr>
      </w:pPr>
      <w:r>
        <w:rPr>
          <w:sz w:val="24"/>
          <w:szCs w:val="24"/>
        </w:rPr>
        <w:t>Ky projektligj nuk sjell efekte financiare për buxhetin e shtetit.</w:t>
      </w:r>
    </w:p>
    <w:p w:rsidR="00740587" w:rsidRDefault="00740587">
      <w:pPr>
        <w:pStyle w:val="Heading1"/>
        <w:tabs>
          <w:tab w:val="left" w:pos="1103"/>
        </w:tabs>
        <w:spacing w:before="161" w:line="276" w:lineRule="auto"/>
        <w:ind w:left="0" w:firstLine="0"/>
      </w:pPr>
    </w:p>
    <w:p w:rsidR="00740587" w:rsidRDefault="006D28F7">
      <w:pPr>
        <w:pStyle w:val="Heading1"/>
        <w:numPr>
          <w:ilvl w:val="0"/>
          <w:numId w:val="1"/>
        </w:numPr>
        <w:tabs>
          <w:tab w:val="left" w:pos="1103"/>
        </w:tabs>
        <w:spacing w:before="161" w:line="276" w:lineRule="auto"/>
        <w:ind w:left="1103" w:hanging="720"/>
      </w:pPr>
      <w:r>
        <w:t>KONSULTIMI PUBLIK</w:t>
      </w:r>
    </w:p>
    <w:p w:rsidR="00740587" w:rsidRDefault="00740587">
      <w:pPr>
        <w:pStyle w:val="Heading1"/>
        <w:tabs>
          <w:tab w:val="left" w:pos="1103"/>
        </w:tabs>
        <w:spacing w:before="161" w:line="276" w:lineRule="auto"/>
        <w:ind w:firstLine="0"/>
        <w:jc w:val="right"/>
      </w:pPr>
    </w:p>
    <w:p w:rsidR="00740587" w:rsidRDefault="006D28F7">
      <w:pPr>
        <w:pBdr>
          <w:top w:val="nil"/>
          <w:left w:val="nil"/>
          <w:bottom w:val="nil"/>
          <w:right w:val="nil"/>
          <w:between w:val="nil"/>
        </w:pBdr>
        <w:jc w:val="both"/>
        <w:rPr>
          <w:color w:val="000000"/>
          <w:sz w:val="24"/>
          <w:szCs w:val="24"/>
        </w:rPr>
      </w:pPr>
      <w:r>
        <w:rPr>
          <w:color w:val="000000"/>
          <w:sz w:val="24"/>
          <w:szCs w:val="24"/>
        </w:rPr>
        <w:t>Projektligji është publikuar në platformën onlinë të Kuvendit të Shqipërisë për t’iu nënshtruar procesit të konsultimit nga data 16 dhjetor 2025 deri më 5 janar 2026.</w:t>
      </w:r>
    </w:p>
    <w:p w:rsidR="00740587" w:rsidRDefault="00740587">
      <w:pPr>
        <w:pBdr>
          <w:top w:val="nil"/>
          <w:left w:val="nil"/>
          <w:bottom w:val="nil"/>
          <w:right w:val="nil"/>
          <w:between w:val="nil"/>
        </w:pBdr>
        <w:spacing w:before="115" w:line="276" w:lineRule="auto"/>
        <w:ind w:left="23" w:right="25"/>
        <w:jc w:val="both"/>
        <w:rPr>
          <w:color w:val="000000"/>
          <w:sz w:val="24"/>
          <w:szCs w:val="24"/>
        </w:rPr>
      </w:pPr>
    </w:p>
    <w:p w:rsidR="00740587" w:rsidRPr="005E4A83" w:rsidRDefault="006D28F7" w:rsidP="005E4A83">
      <w:pPr>
        <w:pStyle w:val="Heading1"/>
        <w:numPr>
          <w:ilvl w:val="0"/>
          <w:numId w:val="1"/>
        </w:numPr>
        <w:tabs>
          <w:tab w:val="left" w:pos="1103"/>
        </w:tabs>
        <w:spacing w:before="125" w:line="276" w:lineRule="auto"/>
        <w:ind w:left="1103" w:hanging="720"/>
      </w:pPr>
      <w:r>
        <w:t>ÇËSHTJE TË DISKUTUARA NË KOMISION</w:t>
      </w:r>
    </w:p>
    <w:p w:rsidR="005E4A83" w:rsidRPr="005E4A83" w:rsidRDefault="005E4A83" w:rsidP="005E4A83">
      <w:pPr>
        <w:widowControl/>
        <w:spacing w:before="240" w:after="240"/>
        <w:jc w:val="both"/>
        <w:rPr>
          <w:sz w:val="24"/>
          <w:szCs w:val="24"/>
        </w:rPr>
      </w:pPr>
      <w:r w:rsidRPr="005E4A83">
        <w:rPr>
          <w:sz w:val="24"/>
          <w:szCs w:val="24"/>
        </w:rPr>
        <w:t>Në fillim të shqyrtimit, Kryetari i Komisionit ngriti çështjen e bashkërendimit të dy nismave ligjore për ndryshime në Kodin Penal, duke iu referuar Rregullores së Kuvendit dhe nevojës për një trajtim të unifikuar të propozimeve. Në këtë kuadër, ai kërkoi sqarimin nëse nisma e deputetit Bledi Çomo gjen reflektim të plotë në nismën e Këshillit të Ministrave dhe propozoi bashkimi</w:t>
      </w:r>
      <w:r>
        <w:rPr>
          <w:sz w:val="24"/>
          <w:szCs w:val="24"/>
        </w:rPr>
        <w:t>n e tyre në një nismë të vetme.</w:t>
      </w:r>
    </w:p>
    <w:p w:rsidR="005E4A83" w:rsidRPr="005E4A83" w:rsidRDefault="005E4A83" w:rsidP="005E4A83">
      <w:pPr>
        <w:widowControl/>
        <w:spacing w:before="240" w:after="240"/>
        <w:jc w:val="both"/>
        <w:rPr>
          <w:sz w:val="24"/>
          <w:szCs w:val="24"/>
        </w:rPr>
      </w:pPr>
      <w:r w:rsidRPr="005E4A83">
        <w:rPr>
          <w:sz w:val="24"/>
          <w:szCs w:val="24"/>
        </w:rPr>
        <w:t>Deputeti nismëtar konfirmoi se përmbajtja e nismës së tij përputhet plotësisht me propozimin e Këshillit të Ministrave, si në lidhje me katër shtesat e parashikuara, një ndryshim</w:t>
      </w:r>
      <w:bookmarkStart w:id="0" w:name="_GoBack"/>
      <w:bookmarkEnd w:id="0"/>
      <w:r w:rsidRPr="005E4A83">
        <w:rPr>
          <w:sz w:val="24"/>
          <w:szCs w:val="24"/>
        </w:rPr>
        <w:t xml:space="preserve"> dispozite, </w:t>
      </w:r>
      <w:r w:rsidRPr="005E4A83">
        <w:rPr>
          <w:sz w:val="24"/>
          <w:szCs w:val="24"/>
        </w:rPr>
        <w:lastRenderedPageBreak/>
        <w:t xml:space="preserve">ashtu edhe me hyrjen në fuqi, duke shprehur dakordësinë </w:t>
      </w:r>
      <w:r w:rsidR="00CB2163">
        <w:rPr>
          <w:sz w:val="24"/>
          <w:szCs w:val="24"/>
        </w:rPr>
        <w:t>q</w:t>
      </w:r>
      <w:r w:rsidR="00115B0A">
        <w:rPr>
          <w:sz w:val="24"/>
          <w:szCs w:val="24"/>
        </w:rPr>
        <w:t>ë</w:t>
      </w:r>
      <w:r w:rsidR="00CB2163">
        <w:rPr>
          <w:sz w:val="24"/>
          <w:szCs w:val="24"/>
        </w:rPr>
        <w:t xml:space="preserve"> komisioni t</w:t>
      </w:r>
      <w:r w:rsidR="00115B0A">
        <w:rPr>
          <w:sz w:val="24"/>
          <w:szCs w:val="24"/>
        </w:rPr>
        <w:t>ë</w:t>
      </w:r>
      <w:r w:rsidR="00CB2163">
        <w:rPr>
          <w:sz w:val="24"/>
          <w:szCs w:val="24"/>
        </w:rPr>
        <w:t xml:space="preserve"> vazhdonte me shqyrtimin e nism</w:t>
      </w:r>
      <w:r w:rsidR="00115B0A">
        <w:rPr>
          <w:sz w:val="24"/>
          <w:szCs w:val="24"/>
        </w:rPr>
        <w:t>ë</w:t>
      </w:r>
      <w:r w:rsidR="00CB2163">
        <w:rPr>
          <w:sz w:val="24"/>
          <w:szCs w:val="24"/>
        </w:rPr>
        <w:t>s s</w:t>
      </w:r>
      <w:r w:rsidR="00115B0A">
        <w:rPr>
          <w:sz w:val="24"/>
          <w:szCs w:val="24"/>
        </w:rPr>
        <w:t>ë</w:t>
      </w:r>
      <w:r w:rsidR="00CB2163">
        <w:rPr>
          <w:sz w:val="24"/>
          <w:szCs w:val="24"/>
        </w:rPr>
        <w:t xml:space="preserve"> K</w:t>
      </w:r>
      <w:r w:rsidR="00115B0A">
        <w:rPr>
          <w:sz w:val="24"/>
          <w:szCs w:val="24"/>
        </w:rPr>
        <w:t>ë</w:t>
      </w:r>
      <w:r w:rsidR="00CB2163">
        <w:rPr>
          <w:sz w:val="24"/>
          <w:szCs w:val="24"/>
        </w:rPr>
        <w:t xml:space="preserve">shillit Ministrave </w:t>
      </w:r>
      <w:r>
        <w:rPr>
          <w:sz w:val="24"/>
          <w:szCs w:val="24"/>
        </w:rPr>
        <w:t>.</w:t>
      </w:r>
    </w:p>
    <w:p w:rsidR="005E4A83" w:rsidRPr="005E4A83" w:rsidRDefault="005E4A83" w:rsidP="005E4A83">
      <w:pPr>
        <w:widowControl/>
        <w:spacing w:before="240" w:after="240"/>
        <w:jc w:val="both"/>
        <w:rPr>
          <w:sz w:val="24"/>
          <w:szCs w:val="24"/>
        </w:rPr>
      </w:pPr>
      <w:r w:rsidRPr="005E4A83">
        <w:rPr>
          <w:sz w:val="24"/>
          <w:szCs w:val="24"/>
        </w:rPr>
        <w:t>Edhe Ministri</w:t>
      </w:r>
      <w:r w:rsidR="00115B0A">
        <w:rPr>
          <w:sz w:val="24"/>
          <w:szCs w:val="24"/>
        </w:rPr>
        <w:t xml:space="preserve"> i Drejtësisë shprehu dakordësi</w:t>
      </w:r>
      <w:r w:rsidRPr="005E4A83">
        <w:rPr>
          <w:sz w:val="24"/>
          <w:szCs w:val="24"/>
        </w:rPr>
        <w:t>, duke theksuar rëndësinë e bashkëpunimit të ngushtë mes Qeverisë dhe Komisionit të Ligjeve, veçanërisht në kontekstin e angazhimeve të Shqipërisë në kuadër të procesit të integrimit evropian dhe negociatave me Bashkimin Evropian. Ministri nënvizoi se ky bashkëpunim dhe shkëmbim informacioni përbën një normalitet të ri institucional, në funksion të përmbushjes së pritshmërive të qytetarëve dhe standardeve evropia</w:t>
      </w:r>
      <w:r>
        <w:rPr>
          <w:sz w:val="24"/>
          <w:szCs w:val="24"/>
        </w:rPr>
        <w:t>ne.</w:t>
      </w:r>
    </w:p>
    <w:p w:rsidR="005E4A83" w:rsidRPr="005E4A83" w:rsidRDefault="005E4A83" w:rsidP="005E4A83">
      <w:pPr>
        <w:widowControl/>
        <w:spacing w:before="240" w:after="240"/>
        <w:jc w:val="both"/>
        <w:rPr>
          <w:sz w:val="24"/>
          <w:szCs w:val="24"/>
        </w:rPr>
      </w:pPr>
      <w:r w:rsidRPr="005E4A83">
        <w:rPr>
          <w:sz w:val="24"/>
          <w:szCs w:val="24"/>
        </w:rPr>
        <w:t xml:space="preserve">Në përfundim, Komisioni </w:t>
      </w:r>
      <w:r w:rsidR="00115B0A">
        <w:rPr>
          <w:sz w:val="24"/>
          <w:szCs w:val="24"/>
        </w:rPr>
        <w:t>për të vazhduar shqyrtimin e nismës së</w:t>
      </w:r>
      <w:r w:rsidRPr="005E4A83">
        <w:rPr>
          <w:sz w:val="24"/>
          <w:szCs w:val="24"/>
        </w:rPr>
        <w:t xml:space="preserve"> Këshillit të Ministrave për disa shtesa dhe ndryshime në ligjin nr. 7895, datë 27.01.1995, “Kodi Penal i Republikës së Shqipërisë”, të ndryshuar, dhe vijoi procedurën me prezantimin e përmbajtjes së nismës së bashkuar nga Ministri i Drejtësisë.</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Nismëtari paraqiti paketën e ndryshimeve në Kodin Penal si një reformë thelbësore, që shkon përtej një ndërhyrjeje teknike dhe synon forcimin e shtetit të së drejtës, rritjen e sigurisë publike dhe përmbushjen e angazhimeve të Shqipërisë në kuadër të procesit të integrimit evropian. Projektligji u cilësua si rezultat i një pune të thelluar analitike, i mbështetur si në praktikat më të mira evropiane, ashtu edhe në problematikat konkrete të evidentuara nga organet ligjzbatuese dhe shoqëria.</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U theksua se ndryshimet lidhen drejtpërdrejt me Kapitullin 24 të negociatave “Drejtësia, Liria dhe Siguria” dhe me përmbushjen e piketave të vendosura nga Bashkimi Evropian, me objektiv harmonizimin e plotë të Kodit Penal me acquis communautaire dhe rritjen e efektivitetit të ndjekjes penale për krime të rënda dhe komplekse. Në këtë kuadër, projektligji përafron legjislacionin penal shqiptar me një sërë instrumentesh kyçe të BE-së, veçanërisht në fushat e luftës kundër pastrimit të parave, trafikimit të drogës dhe qenieve njerëzore, shfrytëzimit seksual të fëmijëve, terrorizmit, si dhe mbrojtjes së interesave financiare dhe sigurisë së Bashkimit Evropian.</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Nismëtari vuri në dukje se paketa forcon ndjeshëm reagimin penal ndaj krimit të organizuar dhe kriminalitetit ndërkufitar, përmes zgjerimit të juridiksionit penal të Republikës së Shqipërisë edhe për vepra të kryera jashtë territorit, heqjes së kushtit të dënueshmërisë së dyfishtë në raste të caktuara dhe lehtësimit të provës për origjinën kriminale të pasurisë.</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Një vëmendje e veçantë iu kushtua mbrojtjes së fëmijëve dhe grupeve vulnerabël, duke ashpërsuar dhe modernizuar veprat penale me natyrë seksuale, rritur dënimet, zgjatur afatet e parashkrimit dhe parashikuar ndalimin e ushtrimit të profesioneve që përfshijnë kontakt me fëmijë. Në luftën kundër trafikimit të qenieve njerëzore, projektligji përjashton çdo efekt justifikues të pëlqimit të viktimës, zgjeron përkufizimin e shfrytëzimit dhe kriminalizon përdorimin e shërbimeve të ofruara nga viktimat, duke reflektuar një qasje të qartë zero tolerance.</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 xml:space="preserve">Gjithashtu, u theksua forcimi i mbrojtjes së interesit publik, territorit dhe mjedisit, përmes ashpërsimit të trajtimit penal për zënien e paligjshme të tokës, ndërtimin dhe shfrytëzimin pa titull ligjor, veçanërisht në zona të mbrojtura, objekte të trashëgimisë kulturore dhe infrastrukturë kritike, me dënime më të rënda kur veprat kryhen nga persona që ushtrojnë funksione publike. Projektligji ndërhyn gjithashtu ndaj zjarrëvënies në pyje dhe mjedisin </w:t>
      </w:r>
      <w:r w:rsidRPr="005E4A83">
        <w:rPr>
          <w:color w:val="000000"/>
          <w:sz w:val="24"/>
          <w:szCs w:val="24"/>
        </w:rPr>
        <w:lastRenderedPageBreak/>
        <w:t>natyror, si dhe kriminalizon parkimin në rresht të dytë në rastet kur cënohet seriozisht siguria dhe qarkullimi, veçanërisht i mjeteve të emergjencës.</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Një risi e rëndësishme u vlerësua edhe forcimi i mbrojtjes së gazetarëve dhe lirisë së medias, duke garantuar një balancë mes mbrojtjes së reputacionit dhe lirisë së shprehjes, përjashtuar përgjegjësinë penale për gazetarët që veprojnë me mirëbesim dhe në interes publik, si dhe ashpërsuar ndëshkimet për dhunën apo kërcënimin ndaj tyre për shkak të detyrës.</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Në përfundim, nismëtari e cilësoi projektligjin si një reformë të guximshme, të balancuar dhe të domosdoshme, që synon jo vetëm ndëshkimin më efektiv të krimit, por edhe parandalimin, mbrojtjen e viktimave dhe garantimin e sigurisë për qytetarët, në funksion të ndërtimit të një sistemi penal modern dhe plotësisht të përafruar me standardet evropiane.</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Relatori theksoi se Komisioni për Çështjet Ligjore, Administratën Publike dhe të Drejtat e Njeriut e shqyrtoi projektligjin në cilësinë e komisionit përgjegjës, në përputhje me nenet 32–38 të Rregullores së Kuvendit. Ai vuri në dukje se procesi i përafrimit të legjislacionit penal shqiptar me acquis communautaire përbën një prioritet themelor të integrimit evropian, duke rritur njëkohësisht sigurinë juridike, standardet e mbrojtjes së të drejtave themelore dhe besueshmërinë e sistemit penal në luftën kundër kriminalitetit të organizuar, korrupsionit, pastrimit të parave, terrorizmit dhe krimit transnacional.</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U theksua se projektligji synon përafrimin e Kodit Penal me shtatë akte kryesore të Bashkimit Evropian, në funksion të përmbushjes së piketave të ndërmjetme të procesit të negociatave, adresimit të boshllëqeve dhe rasteve të transpozimit të paplotë apo të pasaktë në legjislacionin penal në fuqi, si dhe garantimit të një harmonizimi të plotë me standardet evropiane.</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Relatori nënvizoi se projektligji përfshin gjithashtu masa të menjëhershme për adresimin e fenomeneve të ndërtimit pa leje, zënies së hapësirave publike dhe zjarrëvënies, me qëllim forcimin e mbrojtjes së territorit, pasurive kombëtare, mjedisit, pronës publike dhe private, trashëgimisë kulturore dhe infrastrukturës kritike. Në këtë kuadër, parashikohen sanksione më të rënda, veçanërisht kur këto vepra kryhen nga funksionarë publikë, duke synuar rritjen e integritetit të administratës publike dhe efektit parandalues të ligjit penal.</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Një aspekt i veçantë i projektligjit lidhet me kriminalizimin e parkimit në rresht të dytë në rastet kur ky veprim pengon seriozisht qarkullimin, veçanërisht lëvizjen e mjeteve të emergjencës, shkakton bllokime totale të rrugëve ose krijon rrezik për këmbësorët. Sipas relatorit, kjo ndërhyrje synon rritjen e sigurisë publike, mbrojtjen e jetës dhe shëndetit të qytetarëve, si dhe sigurimin e një kuadri të qartë dhe efektiv për institucionet e zbatimit të ligjit.</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Relatori vuri në dukje gjithashtu forcimin e mbrojtjes ligjore për gazetarët, përmes ndryshimeve të propozuara në nenet 120, 237 dhe 238 të Kodit Penal, duke njohur rolin e tyre si aktorë publikë dhe duke ashpërsuar ndëshkimet për kërcënimet, dhunën apo intimidimin ndaj tyre gjatë ushtrimit të profesionit, në përputhje me standardet dhe rekomandimet e Bashkimit Evropian për sigurinë e profesionistëve të medias.</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 xml:space="preserve">Në përfundim, relatori theksoi se projektligji është në përputhje me Kushtetutën dhe legjislacionin në fuqi, nuk sjell efekte financiare për buxhetin e shtetit dhe është konsultuar </w:t>
      </w:r>
      <w:r w:rsidRPr="005E4A83">
        <w:rPr>
          <w:color w:val="000000"/>
          <w:sz w:val="24"/>
          <w:szCs w:val="24"/>
        </w:rPr>
        <w:lastRenderedPageBreak/>
        <w:t>publikisht përmes platformës online të Kuvendit. Duke vlerësuar rëndësinë e tij për forcimin e sistemit penal, mbrojtjen e viktimave, sigurinë publike, lirinë e medias dhe përmbushjen e detyrimeve të integrimit evropian, relatori i kërkoi Kuvendit miratimin e nismës së Këshillit të Ministrave.</w:t>
      </w:r>
    </w:p>
    <w:p w:rsid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Gjatë shqyrtimit të projektligjit në fazën e pyetjeve dhe diskutimeve, anëtarët e Komisionit ngritën disa çështje kryesore që lidhen me përmbajtjen, objektivat dhe efektet e ndryshimeve të propozuara në Kodin Penal.</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Një çështje qendrore e diskutimit lidhej me përafrimin e projektligjit me acquis communautaire, veçanërisht nëse dhe në çfarë mase ndryshimet e propozuara reflektojnë drejtpërdrejt direktivat dhe instrumentet e Bashkimit Evropian në kuadër të Kapitullit 24 “Drejtësia, Liria dhe Siguria”, si dhe përmbushjen e piketave të ndërmjetme të procesit të negociatave. Në këtë kuadër, u kërkuan sqarime mbi transpozimin e instrumenteve përkatëse të BE-së në fushat e luftës kundër terrorizmit, krimit të organizuar, pastrimit të parave, trafikimit të qenieve njerëzore, mbrojtjes së të miturve dhe interesave financiare të Bashkimit Evropian.</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Gjithashtu, u diskutua dekriminalizimi i pjesshëm i veprës penale të shpifjes për gazetarët, duke u kërkuar sqarime mbi risitë që sjell projektligji, kriteret e përjashtimit nga përgjegjësia penale dhe garancitë e parashikuara për ushtrimin e profesionit në mirëbesim dhe në interes publik, në përputhje me standardet evropiane dhe praktikën gjyqësore përkatëse.</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Një tjetër çështje e trajtuar kishte të bënte me masat përforcuese për sigurinë dhe mbrojtjen e gazetarëve, përmes ndryshimeve në dispozitat penale që lidhen me kanosjen dhe dhunën, si dhe me kufijtë e shtrirjes së kësaj mbrojtjeje në raport me subjekte të tjera që ushtrojnë veprimtari në fushën e medias.</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Në vijim, Komisioni trajtoi kriminalizimin e parkimit të mjetit në rresht të dytë në rastet kur ky veprim pengon seriozisht qarkullimin, veçanërisht lëvizjen e mjeteve të emergjencës, duke u diskutuar proporcionaliteti i masës penale dhe qëllimi parandalues i saj në funksion të sigurisë publike.</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Po ashtu, u diskutuan ndryshimet që lidhen me ndërtimet pa leje, zënien e tokave dhe zjarrëvënien, me fokus forcimin e mbrojtjes së territorit, mjedisit, pronës publike dhe private, si dhe rritjen e integritetit të administratës publike përmes sanksionimit më të rreptë të funksionarëve publikë të përfshirë në këto vepra.</w:t>
      </w:r>
    </w:p>
    <w:p w:rsidR="005E4A83" w:rsidRPr="005E4A83" w:rsidRDefault="005E4A83" w:rsidP="005E4A83">
      <w:pPr>
        <w:pBdr>
          <w:top w:val="nil"/>
          <w:left w:val="nil"/>
          <w:bottom w:val="nil"/>
          <w:right w:val="nil"/>
          <w:between w:val="nil"/>
        </w:pBdr>
        <w:spacing w:before="1" w:line="276" w:lineRule="auto"/>
        <w:ind w:left="23" w:right="-14"/>
        <w:jc w:val="both"/>
        <w:rPr>
          <w:color w:val="000000"/>
          <w:sz w:val="24"/>
          <w:szCs w:val="24"/>
        </w:rPr>
      </w:pPr>
    </w:p>
    <w:p w:rsidR="005E4A83" w:rsidRDefault="005E4A83" w:rsidP="005E4A83">
      <w:pPr>
        <w:pBdr>
          <w:top w:val="nil"/>
          <w:left w:val="nil"/>
          <w:bottom w:val="nil"/>
          <w:right w:val="nil"/>
          <w:between w:val="nil"/>
        </w:pBdr>
        <w:spacing w:before="1" w:line="276" w:lineRule="auto"/>
        <w:ind w:left="23" w:right="-14"/>
        <w:jc w:val="both"/>
        <w:rPr>
          <w:color w:val="000000"/>
          <w:sz w:val="24"/>
          <w:szCs w:val="24"/>
        </w:rPr>
      </w:pPr>
      <w:r w:rsidRPr="005E4A83">
        <w:rPr>
          <w:color w:val="000000"/>
          <w:sz w:val="24"/>
          <w:szCs w:val="24"/>
        </w:rPr>
        <w:t>Gjatë diskutimeve u theksua nevoja për ruajtjen e koherencës së ndryshimeve të propozuara me procesin e negociatave me Bashkimin Evropian, si dhe rëndësia që çdo ndërhyrje e mëtejshme në tekst të mos cenojë cilësinë e transpozimit dhe afatet e përmbushjes së angazhimeve ndërkombëtare.</w:t>
      </w:r>
    </w:p>
    <w:p w:rsidR="005E4A83" w:rsidRDefault="005E4A83">
      <w:pPr>
        <w:pBdr>
          <w:top w:val="nil"/>
          <w:left w:val="nil"/>
          <w:bottom w:val="nil"/>
          <w:right w:val="nil"/>
          <w:between w:val="nil"/>
        </w:pBdr>
        <w:spacing w:before="1" w:line="276" w:lineRule="auto"/>
        <w:ind w:left="23" w:right="-14"/>
        <w:jc w:val="both"/>
        <w:rPr>
          <w:color w:val="000000"/>
          <w:sz w:val="24"/>
          <w:szCs w:val="24"/>
        </w:rPr>
      </w:pPr>
    </w:p>
    <w:p w:rsidR="00740587" w:rsidRDefault="00EC4D80" w:rsidP="005E4A83">
      <w:pPr>
        <w:pBdr>
          <w:top w:val="nil"/>
          <w:left w:val="nil"/>
          <w:bottom w:val="nil"/>
          <w:right w:val="nil"/>
          <w:between w:val="nil"/>
        </w:pBdr>
        <w:spacing w:line="276" w:lineRule="auto"/>
        <w:ind w:right="355"/>
        <w:jc w:val="both"/>
        <w:rPr>
          <w:color w:val="000000"/>
          <w:sz w:val="24"/>
          <w:szCs w:val="24"/>
        </w:rPr>
      </w:pPr>
      <w:r>
        <w:rPr>
          <w:color w:val="000000"/>
          <w:sz w:val="24"/>
          <w:szCs w:val="24"/>
        </w:rPr>
        <w:t xml:space="preserve">  </w:t>
      </w:r>
    </w:p>
    <w:p w:rsidR="00740587" w:rsidRDefault="006D28F7">
      <w:pPr>
        <w:pStyle w:val="Heading1"/>
        <w:numPr>
          <w:ilvl w:val="0"/>
          <w:numId w:val="1"/>
        </w:numPr>
        <w:tabs>
          <w:tab w:val="left" w:pos="1103"/>
        </w:tabs>
        <w:spacing w:line="276" w:lineRule="auto"/>
        <w:ind w:left="1103" w:hanging="720"/>
      </w:pPr>
      <w:r>
        <w:t>PËRFUNDIM</w:t>
      </w:r>
    </w:p>
    <w:p w:rsidR="00740587" w:rsidRDefault="006D28F7">
      <w:pPr>
        <w:pBdr>
          <w:top w:val="nil"/>
          <w:left w:val="nil"/>
          <w:bottom w:val="nil"/>
          <w:right w:val="nil"/>
          <w:between w:val="nil"/>
        </w:pBdr>
        <w:spacing w:before="115" w:line="276" w:lineRule="auto"/>
        <w:ind w:left="23" w:right="19"/>
        <w:rPr>
          <w:color w:val="000000"/>
          <w:sz w:val="24"/>
          <w:szCs w:val="24"/>
        </w:rPr>
      </w:pPr>
      <w:r>
        <w:rPr>
          <w:color w:val="000000"/>
          <w:sz w:val="24"/>
          <w:szCs w:val="24"/>
        </w:rPr>
        <w:t>Në përfundim të shqyrtimit të këtij projektligji, Komisioni për Çështjet Ligjore dhe Administratën Publike, pasi vlerësoi se:</w:t>
      </w:r>
    </w:p>
    <w:p w:rsidR="00740587" w:rsidRDefault="006D28F7">
      <w:pPr>
        <w:pBdr>
          <w:top w:val="nil"/>
          <w:left w:val="nil"/>
          <w:bottom w:val="nil"/>
          <w:right w:val="nil"/>
          <w:between w:val="nil"/>
        </w:pBdr>
        <w:spacing w:before="120" w:line="276" w:lineRule="auto"/>
        <w:ind w:left="23" w:right="19"/>
        <w:rPr>
          <w:color w:val="000000"/>
          <w:sz w:val="24"/>
          <w:szCs w:val="24"/>
        </w:rPr>
      </w:pPr>
      <w:r>
        <w:rPr>
          <w:b/>
          <w:bCs/>
          <w:color w:val="000000"/>
          <w:sz w:val="24"/>
          <w:szCs w:val="24"/>
        </w:rPr>
        <w:lastRenderedPageBreak/>
        <w:t xml:space="preserve">Në aspektin ligjor, </w:t>
      </w:r>
      <w:r>
        <w:rPr>
          <w:color w:val="000000"/>
          <w:sz w:val="24"/>
          <w:szCs w:val="24"/>
        </w:rPr>
        <w:t>projektligji i propozuar është në përputhje me Kushtetutën dhe legjislacionin në fuqi.</w:t>
      </w:r>
    </w:p>
    <w:p w:rsidR="00740587" w:rsidRDefault="006D28F7">
      <w:pPr>
        <w:spacing w:before="120" w:line="276" w:lineRule="auto"/>
        <w:ind w:left="23"/>
        <w:rPr>
          <w:sz w:val="24"/>
          <w:szCs w:val="24"/>
        </w:rPr>
      </w:pPr>
      <w:r>
        <w:rPr>
          <w:b/>
          <w:bCs/>
          <w:sz w:val="24"/>
          <w:szCs w:val="24"/>
        </w:rPr>
        <w:t xml:space="preserve">Në aspektin procedural, </w:t>
      </w:r>
      <w:r>
        <w:rPr>
          <w:sz w:val="24"/>
          <w:szCs w:val="24"/>
        </w:rPr>
        <w:t>projektligji është paraqitur në përputhje me Rregulloren e Kuvendit.</w:t>
      </w:r>
    </w:p>
    <w:p w:rsidR="00740587" w:rsidRDefault="00740587">
      <w:pPr>
        <w:pBdr>
          <w:top w:val="nil"/>
          <w:left w:val="nil"/>
          <w:bottom w:val="nil"/>
          <w:right w:val="nil"/>
          <w:between w:val="nil"/>
        </w:pBdr>
        <w:spacing w:line="276" w:lineRule="auto"/>
        <w:rPr>
          <w:color w:val="000000"/>
          <w:sz w:val="24"/>
          <w:szCs w:val="24"/>
        </w:rPr>
      </w:pPr>
    </w:p>
    <w:p w:rsidR="008574AA" w:rsidRDefault="006D28F7" w:rsidP="00953D4C">
      <w:pPr>
        <w:pBdr>
          <w:top w:val="nil"/>
          <w:left w:val="nil"/>
          <w:bottom w:val="nil"/>
          <w:right w:val="nil"/>
          <w:between w:val="nil"/>
        </w:pBdr>
        <w:spacing w:before="1" w:line="276" w:lineRule="auto"/>
        <w:ind w:left="23" w:right="18"/>
        <w:jc w:val="both"/>
        <w:rPr>
          <w:color w:val="000000"/>
          <w:sz w:val="24"/>
          <w:szCs w:val="24"/>
        </w:rPr>
      </w:pPr>
      <w:r>
        <w:rPr>
          <w:b/>
          <w:bCs/>
          <w:color w:val="000000"/>
          <w:sz w:val="24"/>
          <w:szCs w:val="24"/>
        </w:rPr>
        <w:t>Në përfundim</w:t>
      </w:r>
      <w:r>
        <w:rPr>
          <w:color w:val="000000"/>
          <w:sz w:val="24"/>
          <w:szCs w:val="24"/>
        </w:rPr>
        <w:t>, Komisioni e shqyrtoi projektligjin në parim, nen për nen dhe në tërësi pa bërë ndryshime</w:t>
      </w:r>
      <w:r w:rsidR="006836FC">
        <w:rPr>
          <w:color w:val="000000"/>
          <w:sz w:val="24"/>
          <w:szCs w:val="24"/>
        </w:rPr>
        <w:t xml:space="preserve"> sipas variantit të Këshillit të Ministrave</w:t>
      </w:r>
      <w:r>
        <w:rPr>
          <w:color w:val="000000"/>
          <w:sz w:val="24"/>
          <w:szCs w:val="24"/>
        </w:rPr>
        <w:t xml:space="preserve">. </w:t>
      </w:r>
    </w:p>
    <w:p w:rsidR="00740587" w:rsidRDefault="00740587">
      <w:pPr>
        <w:pBdr>
          <w:top w:val="nil"/>
          <w:left w:val="nil"/>
          <w:bottom w:val="nil"/>
          <w:right w:val="nil"/>
          <w:between w:val="nil"/>
        </w:pBdr>
        <w:spacing w:before="1" w:line="276" w:lineRule="auto"/>
        <w:ind w:left="23" w:right="18"/>
        <w:jc w:val="both"/>
        <w:rPr>
          <w:color w:val="000000"/>
          <w:sz w:val="24"/>
          <w:szCs w:val="24"/>
        </w:rPr>
      </w:pPr>
    </w:p>
    <w:p w:rsidR="00740587" w:rsidRDefault="006D28F7">
      <w:pPr>
        <w:pBdr>
          <w:top w:val="nil"/>
          <w:left w:val="nil"/>
          <w:bottom w:val="nil"/>
          <w:right w:val="nil"/>
          <w:between w:val="nil"/>
        </w:pBdr>
        <w:spacing w:before="1" w:line="276" w:lineRule="auto"/>
        <w:ind w:left="23" w:right="18"/>
        <w:jc w:val="both"/>
        <w:rPr>
          <w:color w:val="000000"/>
          <w:sz w:val="24"/>
          <w:szCs w:val="24"/>
        </w:rPr>
      </w:pPr>
      <w:r>
        <w:rPr>
          <w:color w:val="000000"/>
          <w:sz w:val="24"/>
          <w:szCs w:val="24"/>
        </w:rPr>
        <w:t>Me shumicën e votave të anëtarëve të pranishëm, Komisioni miratoi projektligjin dhe ia përcjell raportin Seancës Plenare.</w:t>
      </w:r>
    </w:p>
    <w:p w:rsidR="00740587" w:rsidRDefault="00740587">
      <w:pPr>
        <w:pBdr>
          <w:top w:val="nil"/>
          <w:left w:val="nil"/>
          <w:bottom w:val="nil"/>
          <w:right w:val="nil"/>
          <w:between w:val="nil"/>
        </w:pBdr>
        <w:spacing w:before="244" w:line="276" w:lineRule="auto"/>
        <w:rPr>
          <w:color w:val="000000"/>
          <w:sz w:val="24"/>
          <w:szCs w:val="24"/>
        </w:rPr>
      </w:pPr>
    </w:p>
    <w:p w:rsidR="00740587" w:rsidRDefault="006D28F7">
      <w:pPr>
        <w:tabs>
          <w:tab w:val="left" w:pos="7224"/>
        </w:tabs>
        <w:spacing w:before="1" w:line="276" w:lineRule="auto"/>
        <w:ind w:left="23"/>
        <w:rPr>
          <w:b/>
          <w:bCs/>
          <w:sz w:val="24"/>
          <w:szCs w:val="24"/>
        </w:rPr>
      </w:pPr>
      <w:r>
        <w:rPr>
          <w:b/>
          <w:bCs/>
          <w:sz w:val="24"/>
          <w:szCs w:val="24"/>
        </w:rPr>
        <w:t>RELATOR</w:t>
      </w:r>
      <w:r>
        <w:rPr>
          <w:b/>
          <w:bCs/>
          <w:sz w:val="24"/>
          <w:szCs w:val="24"/>
        </w:rPr>
        <w:tab/>
        <w:t>KRYETAR</w:t>
      </w:r>
    </w:p>
    <w:p w:rsidR="00740587" w:rsidRDefault="00740587">
      <w:pPr>
        <w:pBdr>
          <w:top w:val="nil"/>
          <w:left w:val="nil"/>
          <w:bottom w:val="nil"/>
          <w:right w:val="nil"/>
          <w:between w:val="nil"/>
        </w:pBdr>
        <w:spacing w:before="239" w:line="276" w:lineRule="auto"/>
        <w:rPr>
          <w:b/>
          <w:bCs/>
          <w:color w:val="000000"/>
          <w:sz w:val="24"/>
          <w:szCs w:val="24"/>
        </w:rPr>
      </w:pPr>
    </w:p>
    <w:p w:rsidR="00740587" w:rsidRPr="006836FC" w:rsidRDefault="006D28F7" w:rsidP="006836FC">
      <w:pPr>
        <w:tabs>
          <w:tab w:val="left" w:pos="7224"/>
        </w:tabs>
        <w:spacing w:before="1" w:line="276" w:lineRule="auto"/>
        <w:ind w:left="23"/>
        <w:rPr>
          <w:b/>
          <w:bCs/>
          <w:sz w:val="24"/>
          <w:szCs w:val="24"/>
        </w:rPr>
      </w:pPr>
      <w:r>
        <w:rPr>
          <w:b/>
          <w:bCs/>
          <w:sz w:val="24"/>
          <w:szCs w:val="24"/>
        </w:rPr>
        <w:t>OLSI KOMICI</w:t>
      </w:r>
      <w:r>
        <w:rPr>
          <w:b/>
          <w:bCs/>
          <w:sz w:val="24"/>
          <w:szCs w:val="24"/>
        </w:rPr>
        <w:tab/>
        <w:t>ULSI MANJA</w:t>
      </w:r>
    </w:p>
    <w:sectPr w:rsidR="00740587" w:rsidRPr="006836FC">
      <w:footerReference w:type="default" r:id="rId9"/>
      <w:pgSz w:w="11910" w:h="16840"/>
      <w:pgMar w:top="810" w:right="1417" w:bottom="1200" w:left="1417" w:header="0" w:footer="100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5B9" w:rsidRDefault="006F25B9">
      <w:r>
        <w:separator/>
      </w:r>
    </w:p>
  </w:endnote>
  <w:endnote w:type="continuationSeparator" w:id="0">
    <w:p w:rsidR="006F25B9" w:rsidRDefault="006F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16A27BDD-6678-4542-9571-A8ACECEB02D4}"/>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7A69FC00-B39C-4C2B-BA42-1BC292E2653D}"/>
  </w:font>
  <w:font w:name="Calibri Light">
    <w:panose1 w:val="020F0302020204030204"/>
    <w:charset w:val="00"/>
    <w:family w:val="swiss"/>
    <w:pitch w:val="variable"/>
    <w:sig w:usb0="E4002EFF" w:usb1="C000247B" w:usb2="00000009" w:usb3="00000000" w:csb0="000001FF" w:csb1="00000000"/>
    <w:embedRegular r:id="rId3" w:fontKey="{774FE6F8-85DA-4B95-9DDA-DAA030D27105}"/>
  </w:font>
  <w:font w:name="Georgia">
    <w:panose1 w:val="02040502050405020303"/>
    <w:charset w:val="00"/>
    <w:family w:val="roman"/>
    <w:pitch w:val="variable"/>
    <w:sig w:usb0="00000287" w:usb1="00000000" w:usb2="00000000" w:usb3="00000000" w:csb0="0000009F" w:csb1="00000000"/>
    <w:embedItalic r:id="rId4" w:fontKey="{18F6C3DA-A4E0-4D7B-B144-C02EEAC1D63F}"/>
  </w:font>
  <w:font w:name="Segoe UI">
    <w:panose1 w:val="020B0502040204020203"/>
    <w:charset w:val="00"/>
    <w:family w:val="swiss"/>
    <w:pitch w:val="variable"/>
    <w:sig w:usb0="E4002EFF" w:usb1="C000E47F" w:usb2="00000009" w:usb3="00000000" w:csb0="000001FF" w:csb1="00000000"/>
    <w:embedRegular r:id="rId5" w:fontKey="{BD2EE06B-957E-4E63-B9EF-59E28D64C56F}"/>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587" w:rsidRDefault="006D28F7">
    <w:pPr>
      <w:pBdr>
        <w:top w:val="nil"/>
        <w:left w:val="nil"/>
        <w:bottom w:val="nil"/>
        <w:right w:val="nil"/>
        <w:between w:val="nil"/>
      </w:pBdr>
      <w:spacing w:line="14" w:lineRule="auto"/>
      <w:rPr>
        <w:color w:val="000000"/>
        <w:sz w:val="20"/>
        <w:szCs w:val="20"/>
      </w:rPr>
    </w:pPr>
    <w:r>
      <w:rPr>
        <w:noProof/>
        <w:lang w:val="en-US"/>
      </w:rPr>
      <mc:AlternateContent>
        <mc:Choice Requires="wpg">
          <w:drawing>
            <wp:anchor distT="0" distB="0" distL="0" distR="0" simplePos="0" relativeHeight="251659264" behindDoc="1" locked="0" layoutInCell="1" hidden="0" allowOverlap="1">
              <wp:simplePos x="0" y="0"/>
              <wp:positionH relativeFrom="column">
                <wp:posOffset>5633148</wp:posOffset>
              </wp:positionH>
              <wp:positionV relativeFrom="paragraph">
                <wp:posOffset>9911093</wp:posOffset>
              </wp:positionV>
              <wp:extent cx="169545" cy="175260"/>
              <wp:effectExtent l="0" t="0" r="0" b="0"/>
              <wp:wrapNone/>
              <wp:docPr id="9" name="Rectangle 9"/>
              <wp:cNvGraphicFramePr/>
              <a:graphic xmlns:a="http://schemas.openxmlformats.org/drawingml/2006/main">
                <a:graphicData uri="http://schemas.microsoft.com/office/word/2010/wordprocessingShape">
                  <wps:wsp>
                    <wps:cNvSpPr/>
                    <wps:spPr>
                      <a:xfrm>
                        <a:off x="5265990" y="3697133"/>
                        <a:ext cx="160020" cy="165735"/>
                      </a:xfrm>
                      <a:prstGeom prst="rect">
                        <a:avLst/>
                      </a:prstGeom>
                      <a:noFill/>
                      <a:ln>
                        <a:noFill/>
                      </a:ln>
                    </wps:spPr>
                    <wps:txbx>
                      <w:txbxContent>
                        <w:p w:rsidR="00740587" w:rsidRDefault="006D28F7">
                          <w:pPr>
                            <w:spacing w:line="245" w:lineRule="auto"/>
                            <w:ind w:left="60" w:firstLine="60"/>
                            <w:textDirection w:val="btLr"/>
                          </w:pPr>
                          <w:r>
                            <w:rPr>
                              <w:rFonts w:ascii="Calibri" w:eastAsia="Calibri" w:hAnsi="Calibri" w:cs="Calibri"/>
                              <w:color w:val="000000"/>
                            </w:rPr>
                            <w:t xml:space="preserve"> PAGE 4</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5633148</wp:posOffset>
              </wp:positionH>
              <wp:positionV relativeFrom="paragraph">
                <wp:posOffset>9911093</wp:posOffset>
              </wp:positionV>
              <wp:extent cx="169545" cy="175260"/>
              <wp:effectExtent b="0" l="0" r="0" t="0"/>
              <wp:wrapNone/>
              <wp:docPr id="9"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69545" cy="17526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5B9" w:rsidRDefault="006F25B9">
      <w:r>
        <w:separator/>
      </w:r>
    </w:p>
  </w:footnote>
  <w:footnote w:type="continuationSeparator" w:id="0">
    <w:p w:rsidR="006F25B9" w:rsidRDefault="006F25B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12B6D"/>
    <w:multiLevelType w:val="multilevel"/>
    <w:tmpl w:val="8506A58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B37403"/>
    <w:multiLevelType w:val="multilevel"/>
    <w:tmpl w:val="E2F69F18"/>
    <w:lvl w:ilvl="0">
      <w:start w:val="1"/>
      <w:numFmt w:val="upperRoman"/>
      <w:lvlText w:val="%1."/>
      <w:lvlJc w:val="left"/>
      <w:pPr>
        <w:ind w:left="297" w:hanging="274"/>
      </w:pPr>
      <w:rPr>
        <w:rFonts w:ascii="Times New Roman" w:eastAsia="Times New Roman" w:hAnsi="Times New Roman" w:cs="Times New Roman"/>
        <w:b/>
        <w:bCs/>
        <w:i w:val="0"/>
        <w:iCs w:val="0"/>
        <w:sz w:val="24"/>
        <w:szCs w:val="24"/>
      </w:rPr>
    </w:lvl>
    <w:lvl w:ilvl="1">
      <w:numFmt w:val="bullet"/>
      <w:lvlText w:val="•"/>
      <w:lvlJc w:val="left"/>
      <w:pPr>
        <w:ind w:left="1177" w:hanging="273"/>
      </w:pPr>
    </w:lvl>
    <w:lvl w:ilvl="2">
      <w:numFmt w:val="bullet"/>
      <w:lvlText w:val="•"/>
      <w:lvlJc w:val="left"/>
      <w:pPr>
        <w:ind w:left="2054" w:hanging="274"/>
      </w:pPr>
    </w:lvl>
    <w:lvl w:ilvl="3">
      <w:numFmt w:val="bullet"/>
      <w:lvlText w:val="•"/>
      <w:lvlJc w:val="left"/>
      <w:pPr>
        <w:ind w:left="2931" w:hanging="273"/>
      </w:pPr>
    </w:lvl>
    <w:lvl w:ilvl="4">
      <w:numFmt w:val="bullet"/>
      <w:lvlText w:val="•"/>
      <w:lvlJc w:val="left"/>
      <w:pPr>
        <w:ind w:left="3808" w:hanging="273"/>
      </w:pPr>
    </w:lvl>
    <w:lvl w:ilvl="5">
      <w:numFmt w:val="bullet"/>
      <w:lvlText w:val="•"/>
      <w:lvlJc w:val="left"/>
      <w:pPr>
        <w:ind w:left="4686" w:hanging="274"/>
      </w:pPr>
    </w:lvl>
    <w:lvl w:ilvl="6">
      <w:numFmt w:val="bullet"/>
      <w:lvlText w:val="•"/>
      <w:lvlJc w:val="left"/>
      <w:pPr>
        <w:ind w:left="5563" w:hanging="274"/>
      </w:pPr>
    </w:lvl>
    <w:lvl w:ilvl="7">
      <w:numFmt w:val="bullet"/>
      <w:lvlText w:val="•"/>
      <w:lvlJc w:val="left"/>
      <w:pPr>
        <w:ind w:left="6440" w:hanging="274"/>
      </w:pPr>
    </w:lvl>
    <w:lvl w:ilvl="8">
      <w:numFmt w:val="bullet"/>
      <w:lvlText w:val="•"/>
      <w:lvlJc w:val="left"/>
      <w:pPr>
        <w:ind w:left="7317" w:hanging="273"/>
      </w:pPr>
    </w:lvl>
  </w:abstractNum>
  <w:abstractNum w:abstractNumId="2" w15:restartNumberingAfterBreak="0">
    <w:nsid w:val="14727C14"/>
    <w:multiLevelType w:val="hybridMultilevel"/>
    <w:tmpl w:val="3334D256"/>
    <w:lvl w:ilvl="0" w:tplc="56567B92">
      <w:numFmt w:val="bullet"/>
      <w:lvlText w:val="-"/>
      <w:lvlJc w:val="left"/>
      <w:pPr>
        <w:ind w:left="383" w:hanging="360"/>
      </w:pPr>
      <w:rPr>
        <w:rFonts w:ascii="Times New Roman" w:eastAsia="Times New Roman" w:hAnsi="Times New Roman" w:cs="Times New Roman" w:hint="default"/>
      </w:rPr>
    </w:lvl>
    <w:lvl w:ilvl="1" w:tplc="04090003" w:tentative="1">
      <w:start w:val="1"/>
      <w:numFmt w:val="bullet"/>
      <w:lvlText w:val="o"/>
      <w:lvlJc w:val="left"/>
      <w:pPr>
        <w:ind w:left="1103" w:hanging="360"/>
      </w:pPr>
      <w:rPr>
        <w:rFonts w:ascii="Courier New" w:hAnsi="Courier New" w:cs="Courier New" w:hint="default"/>
      </w:rPr>
    </w:lvl>
    <w:lvl w:ilvl="2" w:tplc="04090005" w:tentative="1">
      <w:start w:val="1"/>
      <w:numFmt w:val="bullet"/>
      <w:lvlText w:val=""/>
      <w:lvlJc w:val="left"/>
      <w:pPr>
        <w:ind w:left="1823" w:hanging="360"/>
      </w:pPr>
      <w:rPr>
        <w:rFonts w:ascii="Wingdings" w:hAnsi="Wingdings" w:hint="default"/>
      </w:rPr>
    </w:lvl>
    <w:lvl w:ilvl="3" w:tplc="04090001" w:tentative="1">
      <w:start w:val="1"/>
      <w:numFmt w:val="bullet"/>
      <w:lvlText w:val=""/>
      <w:lvlJc w:val="left"/>
      <w:pPr>
        <w:ind w:left="2543" w:hanging="360"/>
      </w:pPr>
      <w:rPr>
        <w:rFonts w:ascii="Symbol" w:hAnsi="Symbol" w:hint="default"/>
      </w:rPr>
    </w:lvl>
    <w:lvl w:ilvl="4" w:tplc="04090003" w:tentative="1">
      <w:start w:val="1"/>
      <w:numFmt w:val="bullet"/>
      <w:lvlText w:val="o"/>
      <w:lvlJc w:val="left"/>
      <w:pPr>
        <w:ind w:left="3263" w:hanging="360"/>
      </w:pPr>
      <w:rPr>
        <w:rFonts w:ascii="Courier New" w:hAnsi="Courier New" w:cs="Courier New" w:hint="default"/>
      </w:rPr>
    </w:lvl>
    <w:lvl w:ilvl="5" w:tplc="04090005" w:tentative="1">
      <w:start w:val="1"/>
      <w:numFmt w:val="bullet"/>
      <w:lvlText w:val=""/>
      <w:lvlJc w:val="left"/>
      <w:pPr>
        <w:ind w:left="3983" w:hanging="360"/>
      </w:pPr>
      <w:rPr>
        <w:rFonts w:ascii="Wingdings" w:hAnsi="Wingdings" w:hint="default"/>
      </w:rPr>
    </w:lvl>
    <w:lvl w:ilvl="6" w:tplc="04090001" w:tentative="1">
      <w:start w:val="1"/>
      <w:numFmt w:val="bullet"/>
      <w:lvlText w:val=""/>
      <w:lvlJc w:val="left"/>
      <w:pPr>
        <w:ind w:left="4703" w:hanging="360"/>
      </w:pPr>
      <w:rPr>
        <w:rFonts w:ascii="Symbol" w:hAnsi="Symbol" w:hint="default"/>
      </w:rPr>
    </w:lvl>
    <w:lvl w:ilvl="7" w:tplc="04090003" w:tentative="1">
      <w:start w:val="1"/>
      <w:numFmt w:val="bullet"/>
      <w:lvlText w:val="o"/>
      <w:lvlJc w:val="left"/>
      <w:pPr>
        <w:ind w:left="5423" w:hanging="360"/>
      </w:pPr>
      <w:rPr>
        <w:rFonts w:ascii="Courier New" w:hAnsi="Courier New" w:cs="Courier New" w:hint="default"/>
      </w:rPr>
    </w:lvl>
    <w:lvl w:ilvl="8" w:tplc="04090005" w:tentative="1">
      <w:start w:val="1"/>
      <w:numFmt w:val="bullet"/>
      <w:lvlText w:val=""/>
      <w:lvlJc w:val="left"/>
      <w:pPr>
        <w:ind w:left="6143" w:hanging="360"/>
      </w:pPr>
      <w:rPr>
        <w:rFonts w:ascii="Wingdings" w:hAnsi="Wingdings" w:hint="default"/>
      </w:rPr>
    </w:lvl>
  </w:abstractNum>
  <w:abstractNum w:abstractNumId="3" w15:restartNumberingAfterBreak="0">
    <w:nsid w:val="18EC46D3"/>
    <w:multiLevelType w:val="multilevel"/>
    <w:tmpl w:val="9FC850D2"/>
    <w:lvl w:ilvl="0">
      <w:start w:val="1"/>
      <w:numFmt w:val="decimal"/>
      <w:lvlText w:val="%1."/>
      <w:lvlJc w:val="left"/>
      <w:pPr>
        <w:ind w:left="23" w:hanging="159"/>
      </w:pPr>
      <w:rPr>
        <w:rFonts w:ascii="Times New Roman" w:eastAsia="Times New Roman" w:hAnsi="Times New Roman" w:cs="Times New Roman"/>
        <w:b w:val="0"/>
        <w:bCs w:val="0"/>
        <w:i/>
        <w:iCs/>
        <w:sz w:val="16"/>
        <w:szCs w:val="16"/>
      </w:rPr>
    </w:lvl>
    <w:lvl w:ilvl="1">
      <w:numFmt w:val="bullet"/>
      <w:lvlText w:val="•"/>
      <w:lvlJc w:val="left"/>
      <w:pPr>
        <w:ind w:left="925" w:hanging="159"/>
      </w:pPr>
    </w:lvl>
    <w:lvl w:ilvl="2">
      <w:numFmt w:val="bullet"/>
      <w:lvlText w:val="•"/>
      <w:lvlJc w:val="left"/>
      <w:pPr>
        <w:ind w:left="1830" w:hanging="159"/>
      </w:pPr>
    </w:lvl>
    <w:lvl w:ilvl="3">
      <w:numFmt w:val="bullet"/>
      <w:lvlText w:val="•"/>
      <w:lvlJc w:val="left"/>
      <w:pPr>
        <w:ind w:left="2735" w:hanging="159"/>
      </w:pPr>
    </w:lvl>
    <w:lvl w:ilvl="4">
      <w:numFmt w:val="bullet"/>
      <w:lvlText w:val="•"/>
      <w:lvlJc w:val="left"/>
      <w:pPr>
        <w:ind w:left="3640" w:hanging="159"/>
      </w:pPr>
    </w:lvl>
    <w:lvl w:ilvl="5">
      <w:numFmt w:val="bullet"/>
      <w:lvlText w:val="•"/>
      <w:lvlJc w:val="left"/>
      <w:pPr>
        <w:ind w:left="4546" w:hanging="159"/>
      </w:pPr>
    </w:lvl>
    <w:lvl w:ilvl="6">
      <w:numFmt w:val="bullet"/>
      <w:lvlText w:val="•"/>
      <w:lvlJc w:val="left"/>
      <w:pPr>
        <w:ind w:left="5451" w:hanging="159"/>
      </w:pPr>
    </w:lvl>
    <w:lvl w:ilvl="7">
      <w:numFmt w:val="bullet"/>
      <w:lvlText w:val="•"/>
      <w:lvlJc w:val="left"/>
      <w:pPr>
        <w:ind w:left="6356" w:hanging="159"/>
      </w:pPr>
    </w:lvl>
    <w:lvl w:ilvl="8">
      <w:numFmt w:val="bullet"/>
      <w:lvlText w:val="•"/>
      <w:lvlJc w:val="left"/>
      <w:pPr>
        <w:ind w:left="7261" w:hanging="159"/>
      </w:pPr>
    </w:lvl>
  </w:abstractNum>
  <w:abstractNum w:abstractNumId="4" w15:restartNumberingAfterBreak="0">
    <w:nsid w:val="259D20BB"/>
    <w:multiLevelType w:val="multilevel"/>
    <w:tmpl w:val="9DDECD48"/>
    <w:lvl w:ilvl="0">
      <w:start w:val="1"/>
      <w:numFmt w:val="decimal"/>
      <w:lvlText w:val="%1."/>
      <w:lvlJc w:val="left"/>
      <w:pPr>
        <w:ind w:left="165" w:hanging="276"/>
      </w:pPr>
      <w:rPr>
        <w:rFonts w:ascii="Times New Roman" w:eastAsia="Times New Roman" w:hAnsi="Times New Roman" w:cs="Times New Roman"/>
        <w:b w:val="0"/>
        <w:bCs w:val="0"/>
        <w:i w:val="0"/>
        <w:iCs w:val="0"/>
        <w:sz w:val="28"/>
        <w:szCs w:val="28"/>
      </w:rPr>
    </w:lvl>
    <w:lvl w:ilvl="1">
      <w:numFmt w:val="bullet"/>
      <w:lvlText w:val="•"/>
      <w:lvlJc w:val="left"/>
      <w:pPr>
        <w:ind w:left="1065" w:hanging="276"/>
      </w:pPr>
    </w:lvl>
    <w:lvl w:ilvl="2">
      <w:numFmt w:val="bullet"/>
      <w:lvlText w:val="•"/>
      <w:lvlJc w:val="left"/>
      <w:pPr>
        <w:ind w:left="1970" w:hanging="276"/>
      </w:pPr>
    </w:lvl>
    <w:lvl w:ilvl="3">
      <w:numFmt w:val="bullet"/>
      <w:lvlText w:val="•"/>
      <w:lvlJc w:val="left"/>
      <w:pPr>
        <w:ind w:left="2876" w:hanging="276"/>
      </w:pPr>
    </w:lvl>
    <w:lvl w:ilvl="4">
      <w:numFmt w:val="bullet"/>
      <w:lvlText w:val="•"/>
      <w:lvlJc w:val="left"/>
      <w:pPr>
        <w:ind w:left="3781" w:hanging="276"/>
      </w:pPr>
    </w:lvl>
    <w:lvl w:ilvl="5">
      <w:numFmt w:val="bullet"/>
      <w:lvlText w:val="•"/>
      <w:lvlJc w:val="left"/>
      <w:pPr>
        <w:ind w:left="4687" w:hanging="276"/>
      </w:pPr>
    </w:lvl>
    <w:lvl w:ilvl="6">
      <w:numFmt w:val="bullet"/>
      <w:lvlText w:val="•"/>
      <w:lvlJc w:val="left"/>
      <w:pPr>
        <w:ind w:left="5592" w:hanging="276"/>
      </w:pPr>
    </w:lvl>
    <w:lvl w:ilvl="7">
      <w:numFmt w:val="bullet"/>
      <w:lvlText w:val="•"/>
      <w:lvlJc w:val="left"/>
      <w:pPr>
        <w:ind w:left="6498" w:hanging="276"/>
      </w:pPr>
    </w:lvl>
    <w:lvl w:ilvl="8">
      <w:numFmt w:val="bullet"/>
      <w:lvlText w:val="•"/>
      <w:lvlJc w:val="left"/>
      <w:pPr>
        <w:ind w:left="7403" w:hanging="276"/>
      </w:pPr>
    </w:lvl>
  </w:abstractNum>
  <w:abstractNum w:abstractNumId="5" w15:restartNumberingAfterBreak="0">
    <w:nsid w:val="2B3C4820"/>
    <w:multiLevelType w:val="multilevel"/>
    <w:tmpl w:val="617A1A00"/>
    <w:lvl w:ilvl="0">
      <w:start w:val="1"/>
      <w:numFmt w:val="lowerLetter"/>
      <w:lvlText w:val="%1)"/>
      <w:lvlJc w:val="left"/>
      <w:pPr>
        <w:ind w:left="1583" w:hanging="360"/>
      </w:pPr>
    </w:lvl>
    <w:lvl w:ilvl="1">
      <w:start w:val="1"/>
      <w:numFmt w:val="lowerLetter"/>
      <w:lvlText w:val="%2."/>
      <w:lvlJc w:val="left"/>
      <w:pPr>
        <w:ind w:left="2303" w:hanging="360"/>
      </w:pPr>
    </w:lvl>
    <w:lvl w:ilvl="2">
      <w:start w:val="1"/>
      <w:numFmt w:val="lowerRoman"/>
      <w:lvlText w:val="%3."/>
      <w:lvlJc w:val="right"/>
      <w:pPr>
        <w:ind w:left="3023" w:hanging="180"/>
      </w:pPr>
    </w:lvl>
    <w:lvl w:ilvl="3">
      <w:start w:val="1"/>
      <w:numFmt w:val="decimal"/>
      <w:lvlText w:val="%4."/>
      <w:lvlJc w:val="left"/>
      <w:pPr>
        <w:ind w:left="3743" w:hanging="360"/>
      </w:pPr>
    </w:lvl>
    <w:lvl w:ilvl="4">
      <w:start w:val="1"/>
      <w:numFmt w:val="lowerLetter"/>
      <w:lvlText w:val="%5."/>
      <w:lvlJc w:val="left"/>
      <w:pPr>
        <w:ind w:left="4463" w:hanging="360"/>
      </w:pPr>
    </w:lvl>
    <w:lvl w:ilvl="5">
      <w:start w:val="1"/>
      <w:numFmt w:val="lowerRoman"/>
      <w:lvlText w:val="%6."/>
      <w:lvlJc w:val="right"/>
      <w:pPr>
        <w:ind w:left="5183" w:hanging="180"/>
      </w:pPr>
    </w:lvl>
    <w:lvl w:ilvl="6">
      <w:start w:val="1"/>
      <w:numFmt w:val="decimal"/>
      <w:lvlText w:val="%7."/>
      <w:lvlJc w:val="left"/>
      <w:pPr>
        <w:ind w:left="5903" w:hanging="360"/>
      </w:pPr>
    </w:lvl>
    <w:lvl w:ilvl="7">
      <w:start w:val="1"/>
      <w:numFmt w:val="lowerLetter"/>
      <w:lvlText w:val="%8."/>
      <w:lvlJc w:val="left"/>
      <w:pPr>
        <w:ind w:left="6623" w:hanging="360"/>
      </w:pPr>
    </w:lvl>
    <w:lvl w:ilvl="8">
      <w:start w:val="1"/>
      <w:numFmt w:val="lowerRoman"/>
      <w:lvlText w:val="%9."/>
      <w:lvlJc w:val="right"/>
      <w:pPr>
        <w:ind w:left="7343" w:hanging="180"/>
      </w:pPr>
    </w:lvl>
  </w:abstractNum>
  <w:abstractNum w:abstractNumId="6" w15:restartNumberingAfterBreak="0">
    <w:nsid w:val="57BA453B"/>
    <w:multiLevelType w:val="multilevel"/>
    <w:tmpl w:val="7862CAD8"/>
    <w:lvl w:ilvl="0">
      <w:numFmt w:val="bullet"/>
      <w:lvlText w:val="-"/>
      <w:lvlJc w:val="left"/>
      <w:pPr>
        <w:ind w:left="720" w:hanging="360"/>
      </w:pPr>
      <w:rPr>
        <w:rFonts w:ascii="Times New Roman" w:eastAsia="Times New Roman" w:hAnsi="Times New Roman" w:cs="Times New Roman"/>
        <w:b w:val="0"/>
        <w:bCs w:val="0"/>
        <w:i w:val="0"/>
        <w:iCs w:val="0"/>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B9E0529"/>
    <w:multiLevelType w:val="multilevel"/>
    <w:tmpl w:val="3E5465DE"/>
    <w:lvl w:ilvl="0">
      <w:start w:val="1"/>
      <w:numFmt w:val="lowerLetter"/>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5FCA15B2"/>
    <w:multiLevelType w:val="multilevel"/>
    <w:tmpl w:val="1D0A5DD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0EA1332"/>
    <w:multiLevelType w:val="multilevel"/>
    <w:tmpl w:val="10DC2028"/>
    <w:lvl w:ilvl="0">
      <w:start w:val="1"/>
      <w:numFmt w:val="decimal"/>
      <w:lvlText w:val="%1."/>
      <w:lvlJc w:val="left"/>
      <w:pPr>
        <w:ind w:left="304" w:hanging="281"/>
      </w:pPr>
      <w:rPr>
        <w:rFonts w:ascii="Times New Roman" w:eastAsia="Times New Roman" w:hAnsi="Times New Roman" w:cs="Times New Roman"/>
        <w:b w:val="0"/>
        <w:bCs w:val="0"/>
        <w:i w:val="0"/>
        <w:iCs w:val="0"/>
        <w:sz w:val="28"/>
        <w:szCs w:val="28"/>
      </w:rPr>
    </w:lvl>
    <w:lvl w:ilvl="1">
      <w:start w:val="1"/>
      <w:numFmt w:val="lowerLetter"/>
      <w:lvlText w:val="%2)"/>
      <w:lvlJc w:val="left"/>
      <w:pPr>
        <w:ind w:left="1031" w:hanging="289"/>
      </w:pPr>
      <w:rPr>
        <w:rFonts w:ascii="Times New Roman" w:eastAsia="Times New Roman" w:hAnsi="Times New Roman" w:cs="Times New Roman"/>
        <w:b w:val="0"/>
        <w:bCs w:val="0"/>
        <w:i w:val="0"/>
        <w:iCs w:val="0"/>
        <w:sz w:val="28"/>
        <w:szCs w:val="28"/>
      </w:rPr>
    </w:lvl>
    <w:lvl w:ilvl="2">
      <w:start w:val="1"/>
      <w:numFmt w:val="lowerLetter"/>
      <w:lvlText w:val="%3)"/>
      <w:lvlJc w:val="left"/>
      <w:pPr>
        <w:ind w:left="1391" w:hanging="288"/>
      </w:pPr>
      <w:rPr>
        <w:rFonts w:ascii="Times New Roman" w:eastAsia="Times New Roman" w:hAnsi="Times New Roman" w:cs="Times New Roman"/>
        <w:b w:val="0"/>
        <w:bCs w:val="0"/>
        <w:i w:val="0"/>
        <w:iCs w:val="0"/>
        <w:sz w:val="28"/>
        <w:szCs w:val="28"/>
      </w:rPr>
    </w:lvl>
    <w:lvl w:ilvl="3">
      <w:numFmt w:val="bullet"/>
      <w:lvlText w:val="•"/>
      <w:lvlJc w:val="left"/>
      <w:pPr>
        <w:ind w:left="1400" w:hanging="288"/>
      </w:pPr>
    </w:lvl>
    <w:lvl w:ilvl="4">
      <w:numFmt w:val="bullet"/>
      <w:lvlText w:val="•"/>
      <w:lvlJc w:val="left"/>
      <w:pPr>
        <w:ind w:left="2496" w:hanging="288"/>
      </w:pPr>
    </w:lvl>
    <w:lvl w:ilvl="5">
      <w:numFmt w:val="bullet"/>
      <w:lvlText w:val="•"/>
      <w:lvlJc w:val="left"/>
      <w:pPr>
        <w:ind w:left="3592" w:hanging="288"/>
      </w:pPr>
    </w:lvl>
    <w:lvl w:ilvl="6">
      <w:numFmt w:val="bullet"/>
      <w:lvlText w:val="•"/>
      <w:lvlJc w:val="left"/>
      <w:pPr>
        <w:ind w:left="4688" w:hanging="288"/>
      </w:pPr>
    </w:lvl>
    <w:lvl w:ilvl="7">
      <w:numFmt w:val="bullet"/>
      <w:lvlText w:val="•"/>
      <w:lvlJc w:val="left"/>
      <w:pPr>
        <w:ind w:left="5784" w:hanging="288"/>
      </w:pPr>
    </w:lvl>
    <w:lvl w:ilvl="8">
      <w:numFmt w:val="bullet"/>
      <w:lvlText w:val="•"/>
      <w:lvlJc w:val="left"/>
      <w:pPr>
        <w:ind w:left="6880" w:hanging="288"/>
      </w:pPr>
    </w:lvl>
  </w:abstractNum>
  <w:abstractNum w:abstractNumId="10" w15:restartNumberingAfterBreak="0">
    <w:nsid w:val="74A811EA"/>
    <w:multiLevelType w:val="multilevel"/>
    <w:tmpl w:val="BEF66A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9"/>
  </w:num>
  <w:num w:numId="3">
    <w:abstractNumId w:val="0"/>
  </w:num>
  <w:num w:numId="4">
    <w:abstractNumId w:val="3"/>
  </w:num>
  <w:num w:numId="5">
    <w:abstractNumId w:val="10"/>
  </w:num>
  <w:num w:numId="6">
    <w:abstractNumId w:val="7"/>
  </w:num>
  <w:num w:numId="7">
    <w:abstractNumId w:val="5"/>
  </w:num>
  <w:num w:numId="8">
    <w:abstractNumId w:val="8"/>
  </w:num>
  <w:num w:numId="9">
    <w:abstractNumId w:val="6"/>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587"/>
    <w:rsid w:val="00115B0A"/>
    <w:rsid w:val="001F642C"/>
    <w:rsid w:val="005D2811"/>
    <w:rsid w:val="005E4A83"/>
    <w:rsid w:val="006836FC"/>
    <w:rsid w:val="006D28F7"/>
    <w:rsid w:val="006F08D1"/>
    <w:rsid w:val="006F25B9"/>
    <w:rsid w:val="00740587"/>
    <w:rsid w:val="008574AA"/>
    <w:rsid w:val="00953D4C"/>
    <w:rsid w:val="00C77DEB"/>
    <w:rsid w:val="00CB2163"/>
    <w:rsid w:val="00E115A3"/>
    <w:rsid w:val="00EC4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384A6"/>
  <w15:docId w15:val="{AB251027-0F5D-4DF8-B441-1EDA3722E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q-AL"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ind w:left="1103" w:hanging="720"/>
      <w:outlineLvl w:val="0"/>
    </w:pPr>
    <w:rPr>
      <w:b/>
      <w:bCs/>
      <w:sz w:val="24"/>
      <w:szCs w:val="24"/>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link w:val="Heading3Char"/>
    <w:pPr>
      <w:keepNext/>
      <w:keepLines/>
      <w:spacing w:before="40"/>
      <w:outlineLvl w:val="2"/>
    </w:pPr>
    <w:rPr>
      <w:rFonts w:ascii="Calibri" w:eastAsia="Calibri" w:hAnsi="Calibri" w:cs="Calibri"/>
      <w:color w:val="1E4D78"/>
      <w:sz w:val="24"/>
      <w:szCs w:val="24"/>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before="4"/>
      <w:ind w:left="2071" w:right="2064"/>
      <w:jc w:val="center"/>
    </w:pPr>
    <w:rPr>
      <w:b/>
      <w:bCs/>
      <w:sz w:val="28"/>
      <w:szCs w:val="28"/>
    </w:rPr>
  </w:style>
  <w:style w:type="character" w:customStyle="1" w:styleId="Heading1Char">
    <w:name w:val="Heading 1 Char"/>
    <w:basedOn w:val="DefaultParagraphFont"/>
    <w:link w:val="Heading1"/>
    <w:uiPriority w:val="1"/>
    <w:rsid w:val="006F7207"/>
    <w:rPr>
      <w:rFonts w:ascii="Times New Roman" w:eastAsia="Times New Roman" w:hAnsi="Times New Roman" w:cs="Times New Roman"/>
      <w:b/>
      <w:bCs/>
      <w:sz w:val="24"/>
      <w:szCs w:val="24"/>
      <w:lang w:val="sq-AL"/>
    </w:rPr>
  </w:style>
  <w:style w:type="character" w:customStyle="1" w:styleId="Heading3Char">
    <w:name w:val="Heading 3 Char"/>
    <w:basedOn w:val="DefaultParagraphFont"/>
    <w:link w:val="Heading3"/>
    <w:uiPriority w:val="9"/>
    <w:rsid w:val="006F7207"/>
    <w:rPr>
      <w:rFonts w:asciiTheme="majorHAnsi" w:eastAsiaTheme="majorEastAsia" w:hAnsiTheme="majorHAnsi" w:cstheme="majorBidi"/>
      <w:color w:val="1F4D78" w:themeColor="accent1" w:themeShade="7F"/>
      <w:sz w:val="24"/>
      <w:szCs w:val="24"/>
      <w:lang w:val="sq-AL"/>
    </w:rPr>
  </w:style>
  <w:style w:type="paragraph" w:styleId="BodyText">
    <w:name w:val="Body Text"/>
    <w:basedOn w:val="Normal"/>
    <w:link w:val="BodyTextChar"/>
    <w:uiPriority w:val="1"/>
    <w:qFormat/>
    <w:rsid w:val="006F7207"/>
    <w:pPr>
      <w:spacing w:before="120"/>
      <w:ind w:left="23"/>
      <w:jc w:val="both"/>
    </w:pPr>
    <w:rPr>
      <w:sz w:val="24"/>
      <w:szCs w:val="24"/>
    </w:rPr>
  </w:style>
  <w:style w:type="character" w:customStyle="1" w:styleId="BodyTextChar">
    <w:name w:val="Body Text Char"/>
    <w:basedOn w:val="DefaultParagraphFont"/>
    <w:link w:val="BodyText"/>
    <w:uiPriority w:val="1"/>
    <w:rsid w:val="006F7207"/>
    <w:rPr>
      <w:rFonts w:ascii="Times New Roman" w:eastAsia="Times New Roman" w:hAnsi="Times New Roman" w:cs="Times New Roman"/>
      <w:sz w:val="24"/>
      <w:szCs w:val="24"/>
      <w:lang w:val="sq-AL"/>
    </w:rPr>
  </w:style>
  <w:style w:type="character" w:customStyle="1" w:styleId="TitleChar">
    <w:name w:val="Title Char"/>
    <w:basedOn w:val="DefaultParagraphFont"/>
    <w:link w:val="Title"/>
    <w:uiPriority w:val="1"/>
    <w:rsid w:val="006F7207"/>
    <w:rPr>
      <w:rFonts w:ascii="Times New Roman" w:eastAsia="Times New Roman" w:hAnsi="Times New Roman" w:cs="Times New Roman"/>
      <w:b/>
      <w:bCs/>
      <w:sz w:val="28"/>
      <w:szCs w:val="28"/>
      <w:lang w:val="sq-AL"/>
    </w:rPr>
  </w:style>
  <w:style w:type="paragraph" w:styleId="ListParagraph">
    <w:name w:val="List Paragraph"/>
    <w:basedOn w:val="Normal"/>
    <w:uiPriority w:val="1"/>
    <w:qFormat/>
    <w:rsid w:val="006F7207"/>
    <w:pPr>
      <w:spacing w:before="125"/>
      <w:ind w:left="1103" w:hanging="720"/>
    </w:pPr>
  </w:style>
  <w:style w:type="paragraph" w:styleId="NormalWeb">
    <w:name w:val="Normal (Web)"/>
    <w:basedOn w:val="Normal"/>
    <w:uiPriority w:val="99"/>
    <w:unhideWhenUsed/>
    <w:rsid w:val="006F7207"/>
    <w:pPr>
      <w:widowControl/>
      <w:spacing w:before="100" w:beforeAutospacing="1" w:after="100" w:afterAutospacing="1"/>
    </w:pPr>
    <w:rPr>
      <w:sz w:val="24"/>
      <w:szCs w:val="24"/>
      <w:lang w:val="en-US"/>
    </w:rPr>
  </w:style>
  <w:style w:type="character" w:styleId="Emphasis">
    <w:name w:val="Emphasis"/>
    <w:uiPriority w:val="20"/>
    <w:qFormat/>
    <w:rsid w:val="006F7207"/>
    <w:rPr>
      <w:i/>
      <w:iCs/>
    </w:rPr>
  </w:style>
  <w:style w:type="numbering" w:customStyle="1" w:styleId="NoList1">
    <w:name w:val="No List1"/>
    <w:next w:val="NoList"/>
    <w:uiPriority w:val="99"/>
    <w:semiHidden/>
    <w:unhideWhenUsed/>
    <w:rsid w:val="00B90BAF"/>
  </w:style>
  <w:style w:type="paragraph" w:customStyle="1" w:styleId="TableParagraph">
    <w:name w:val="Table Paragraph"/>
    <w:basedOn w:val="Normal"/>
    <w:uiPriority w:val="1"/>
    <w:qFormat/>
    <w:rsid w:val="00B90BAF"/>
  </w:style>
  <w:style w:type="table" w:styleId="TableGrid">
    <w:name w:val="Table Grid"/>
    <w:basedOn w:val="TableNormal"/>
    <w:uiPriority w:val="39"/>
    <w:rsid w:val="00B90BA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BAF"/>
    <w:rPr>
      <w:sz w:val="16"/>
      <w:szCs w:val="16"/>
    </w:rPr>
  </w:style>
  <w:style w:type="paragraph" w:styleId="CommentText">
    <w:name w:val="annotation text"/>
    <w:basedOn w:val="Normal"/>
    <w:link w:val="CommentTextChar"/>
    <w:uiPriority w:val="99"/>
    <w:semiHidden/>
    <w:unhideWhenUsed/>
    <w:rsid w:val="00B90BAF"/>
    <w:pPr>
      <w:widowControl/>
      <w:spacing w:after="160"/>
    </w:pPr>
    <w:rPr>
      <w:rFonts w:ascii="Calibri" w:eastAsia="Calibri" w:hAnsi="Calibri"/>
      <w:sz w:val="20"/>
      <w:szCs w:val="20"/>
      <w:lang w:val="en-US"/>
    </w:rPr>
  </w:style>
  <w:style w:type="character" w:customStyle="1" w:styleId="CommentTextChar">
    <w:name w:val="Comment Text Char"/>
    <w:basedOn w:val="DefaultParagraphFont"/>
    <w:link w:val="CommentText"/>
    <w:uiPriority w:val="99"/>
    <w:semiHidden/>
    <w:rsid w:val="00B90BAF"/>
    <w:rPr>
      <w:rFonts w:ascii="Calibri" w:eastAsia="Calibri" w:hAnsi="Calibri" w:cs="Times New Roman"/>
      <w:sz w:val="20"/>
      <w:szCs w:val="20"/>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BalloonText">
    <w:name w:val="Balloon Text"/>
    <w:basedOn w:val="Normal"/>
    <w:link w:val="BalloonTextChar"/>
    <w:uiPriority w:val="99"/>
    <w:semiHidden/>
    <w:unhideWhenUsed/>
    <w:rsid w:val="00115B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B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9pCI3Uy2r7Oi7GY/DKI8zjGuw==">CgMxLjAyDmgubnB0enlwZ3NiOGVqOAByITEzUlVwTHl5Q2tJRDRueGRUaUZ1S2ZfVjdfXzN2YzA0NQ==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3127</Words>
  <Characters>17829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Binjaku</dc:creator>
  <cp:lastModifiedBy>Evi Naku</cp:lastModifiedBy>
  <cp:revision>8</cp:revision>
  <cp:lastPrinted>2026-01-26T11:36:00Z</cp:lastPrinted>
  <dcterms:created xsi:type="dcterms:W3CDTF">2026-01-26T10:26:00Z</dcterms:created>
  <dcterms:modified xsi:type="dcterms:W3CDTF">2026-01-26T11:36:00Z</dcterms:modified>
</cp:coreProperties>
</file>