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uppressAutoHyphens w:val="true"/>
        <w:spacing w:before="0" w:after="0" w:line="276"/>
        <w:ind w:right="0" w:left="0" w:firstLine="0"/>
        <w:jc w:val="righ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Datë 21.04.2026</w:t>
      </w:r>
    </w:p>
    <w:p>
      <w:pPr>
        <w:suppressAutoHyphens w:val="true"/>
        <w:spacing w:before="0" w:after="0" w:line="276"/>
        <w:ind w:right="0" w:left="0" w:firstLine="0"/>
        <w:jc w:val="righ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Dokument Parlamentar</w:t>
      </w:r>
    </w:p>
    <w:p>
      <w:pPr>
        <w:suppressAutoHyphens w:val="true"/>
        <w:spacing w:before="0" w:after="0" w:line="276"/>
        <w:ind w:right="0" w:left="0" w:firstLine="0"/>
        <w:jc w:val="righ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Komision përgjegjës</w:t>
      </w:r>
    </w:p>
    <w:p>
      <w:pPr>
        <w:suppressAutoHyphens w:val="true"/>
        <w:spacing w:before="0" w:after="0" w:line="276"/>
        <w:ind w:right="0" w:left="0" w:firstLine="0"/>
        <w:jc w:val="right"/>
        <w:rPr>
          <w:rFonts w:ascii="Times New Roman" w:hAnsi="Times New Roman" w:cs="Times New Roman" w:eastAsia="Times New Roman"/>
          <w:b/>
          <w:color w:val="auto"/>
          <w:spacing w:val="0"/>
          <w:position w:val="0"/>
          <w:sz w:val="24"/>
          <w:shd w:fill="auto" w:val="clear"/>
        </w:rPr>
      </w:pPr>
    </w:p>
    <w:p>
      <w:pPr>
        <w:suppressAutoHyphens w:val="true"/>
        <w:spacing w:before="120" w:after="120" w:line="276"/>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RAPORT</w:t>
      </w:r>
    </w:p>
    <w:p>
      <w:pPr>
        <w:suppressAutoHyphens w:val="true"/>
        <w:spacing w:before="120" w:after="120" w:line="276"/>
        <w:ind w:right="0" w:left="0" w:firstLine="0"/>
        <w:jc w:val="center"/>
        <w:rPr>
          <w:rFonts w:ascii="Times New Roman" w:hAnsi="Times New Roman" w:cs="Times New Roman" w:eastAsia="Times New Roman"/>
          <w:color w:val="auto"/>
          <w:spacing w:val="0"/>
          <w:position w:val="0"/>
          <w:sz w:val="4"/>
          <w:shd w:fill="auto" w:val="clear"/>
        </w:rPr>
      </w:pPr>
    </w:p>
    <w:p>
      <w:pPr>
        <w:suppressAutoHyphens w:val="true"/>
        <w:spacing w:before="0" w:after="0" w:line="276"/>
        <w:ind w:right="0" w:left="1440" w:hanging="144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PËR PROJEKTLIGJIN “PËR KRIJIMIN E AGJENCISË KOMBËTARE TË SHËRBIMEVE ARSIMORE”</w:t>
      </w:r>
    </w:p>
    <w:p>
      <w:pPr>
        <w:suppressAutoHyphens w:val="true"/>
        <w:spacing w:before="0" w:after="0" w:line="276"/>
        <w:ind w:right="0" w:left="1440" w:hanging="1440"/>
        <w:jc w:val="both"/>
        <w:rPr>
          <w:rFonts w:ascii="Times New Roman" w:hAnsi="Times New Roman" w:cs="Times New Roman" w:eastAsia="Times New Roman"/>
          <w:b/>
          <w:color w:val="auto"/>
          <w:spacing w:val="0"/>
          <w:position w:val="0"/>
          <w:sz w:val="24"/>
          <w:shd w:fill="auto" w:val="clear"/>
        </w:rPr>
      </w:pPr>
    </w:p>
    <w:p>
      <w:pPr>
        <w:numPr>
          <w:ilvl w:val="0"/>
          <w:numId w:val="4"/>
        </w:numPr>
        <w:suppressAutoHyphens w:val="true"/>
        <w:spacing w:before="120" w:after="120" w:line="276"/>
        <w:ind w:right="0" w:left="720" w:hanging="36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HYRJE</w:t>
      </w:r>
    </w:p>
    <w:p>
      <w:pPr>
        <w:suppressAutoHyphens w:val="true"/>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Komisioni për Edukimin, Shkencën dhe Sportet, bazuar në nenet 18, 19, 32-38 të Rregullores së Kuvendit të Republikës së Shqipërisë, në mbledhjen e zhvilluar në datat </w:t>
      </w:r>
      <w:r>
        <w:rPr>
          <w:rFonts w:ascii="Times New Roman" w:hAnsi="Times New Roman" w:cs="Times New Roman" w:eastAsia="Times New Roman"/>
          <w:b/>
          <w:color w:val="auto"/>
          <w:spacing w:val="0"/>
          <w:position w:val="0"/>
          <w:sz w:val="24"/>
          <w:shd w:fill="auto" w:val="clear"/>
        </w:rPr>
        <w:t xml:space="preserve">20 dhe 21.04</w:t>
      </w:r>
      <w:r>
        <w:rPr>
          <w:rFonts w:ascii="Times New Roman" w:hAnsi="Times New Roman" w:cs="Times New Roman" w:eastAsia="Times New Roman"/>
          <w:b/>
          <w:color w:val="auto"/>
          <w:spacing w:val="0"/>
          <w:position w:val="0"/>
          <w:sz w:val="22"/>
          <w:shd w:fill="auto" w:val="clear"/>
        </w:rPr>
        <w:t xml:space="preserve">.2026</w:t>
      </w:r>
      <w:r>
        <w:rPr>
          <w:rFonts w:ascii="Times New Roman" w:hAnsi="Times New Roman" w:cs="Times New Roman" w:eastAsia="Times New Roman"/>
          <w:color w:val="auto"/>
          <w:spacing w:val="0"/>
          <w:position w:val="0"/>
          <w:sz w:val="22"/>
          <w:shd w:fill="auto" w:val="clear"/>
        </w:rPr>
        <w:t xml:space="preserve">, në cilësinë e </w:t>
      </w:r>
      <w:r>
        <w:rPr>
          <w:rFonts w:ascii="Times New Roman" w:hAnsi="Times New Roman" w:cs="Times New Roman" w:eastAsia="Times New Roman"/>
          <w:b/>
          <w:color w:val="auto"/>
          <w:spacing w:val="0"/>
          <w:position w:val="0"/>
          <w:sz w:val="22"/>
          <w:shd w:fill="auto" w:val="clear"/>
        </w:rPr>
        <w:t xml:space="preserve">Komisionit përgjegjës</w:t>
      </w:r>
      <w:r>
        <w:rPr>
          <w:rFonts w:ascii="Times New Roman" w:hAnsi="Times New Roman" w:cs="Times New Roman" w:eastAsia="Times New Roman"/>
          <w:color w:val="auto"/>
          <w:spacing w:val="0"/>
          <w:position w:val="0"/>
          <w:sz w:val="22"/>
          <w:shd w:fill="auto" w:val="clear"/>
        </w:rPr>
        <w:t xml:space="preserve">, mori në shqyrtim projektligjin ““Për Krijimin e Agjencisë Kombëtare të Shërbimeve Arsimore”, propozuar nga Këshilli i Ministrave, depozituar në Kuvend më datë 25 mars 2026.</w:t>
      </w:r>
    </w:p>
    <w:p>
      <w:pPr>
        <w:suppressAutoHyphens w:val="true"/>
        <w:spacing w:before="120" w:after="12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Komisioni caktoi relatorë për shqyrtimin e këtij projektligji deputetët, Znj. Ana Nako dhe           Z. Luan Baçi.</w:t>
      </w:r>
    </w:p>
    <w:p>
      <w:pPr>
        <w:spacing w:before="120" w:after="12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Të pranishëm për prezantimin e projektligjit në mbledhje ishin përfaqësues të Ministrisë së Arsimit : </w:t>
      </w:r>
    </w:p>
    <w:p>
      <w:pPr>
        <w:numPr>
          <w:ilvl w:val="0"/>
          <w:numId w:val="8"/>
        </w:numPr>
        <w:suppressAutoHyphens w:val="true"/>
        <w:spacing w:before="0" w:after="0" w:line="276"/>
        <w:ind w:right="0" w:left="720" w:hanging="36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Znj. Mirela Kumbaro, Ministër i Arsimit</w:t>
      </w:r>
    </w:p>
    <w:p>
      <w:pPr>
        <w:numPr>
          <w:ilvl w:val="0"/>
          <w:numId w:val="8"/>
        </w:numPr>
        <w:suppressAutoHyphens w:val="true"/>
        <w:spacing w:before="0" w:after="0" w:line="276"/>
        <w:ind w:right="0" w:left="720" w:hanging="36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Znj. Orjana Osmani, Zëvendësministër i Arsimit</w:t>
      </w:r>
    </w:p>
    <w:p>
      <w:pPr>
        <w:numPr>
          <w:ilvl w:val="0"/>
          <w:numId w:val="8"/>
        </w:numPr>
        <w:suppressAutoHyphens w:val="true"/>
        <w:spacing w:before="0" w:after="0" w:line="276"/>
        <w:ind w:right="0" w:left="720" w:hanging="36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Z. Erzen Tola, Sekretar i Përgjithshëm, </w:t>
      </w:r>
    </w:p>
    <w:p>
      <w:pPr>
        <w:numPr>
          <w:ilvl w:val="0"/>
          <w:numId w:val="8"/>
        </w:numPr>
        <w:suppressAutoHyphens w:val="true"/>
        <w:spacing w:before="0" w:after="0" w:line="276"/>
        <w:ind w:right="0" w:left="720" w:hanging="36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Znj.Aida Myrto, Drejtoreshë e Përgjithshme e Qendrës së Shërbimeve Arsimore</w:t>
      </w:r>
    </w:p>
    <w:p>
      <w:pPr>
        <w:numPr>
          <w:ilvl w:val="0"/>
          <w:numId w:val="8"/>
        </w:numPr>
        <w:suppressAutoHyphens w:val="true"/>
        <w:spacing w:before="0" w:after="0" w:line="276"/>
        <w:ind w:right="0" w:left="720" w:hanging="36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Znj. Jonida Çollaku, Drejtoreshë e Përgjithshme, Drejtoria e Shërbimeve Rrregullatore</w:t>
      </w:r>
    </w:p>
    <w:p>
      <w:pPr>
        <w:numPr>
          <w:ilvl w:val="0"/>
          <w:numId w:val="8"/>
        </w:numPr>
        <w:suppressAutoHyphens w:val="true"/>
        <w:spacing w:before="0" w:after="0" w:line="276"/>
        <w:ind w:right="0" w:left="720" w:hanging="36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Erjon Muka, Këshilltar.</w:t>
      </w:r>
    </w:p>
    <w:p>
      <w:pPr>
        <w:numPr>
          <w:ilvl w:val="0"/>
          <w:numId w:val="8"/>
        </w:numPr>
        <w:suppressAutoHyphens w:val="true"/>
        <w:spacing w:before="120" w:after="120" w:line="276"/>
        <w:ind w:right="0" w:left="720" w:hanging="36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BAZA KUSHTETUESE E PROJEKTLIGJIT</w:t>
      </w:r>
    </w:p>
    <w:p>
      <w:pPr>
        <w:suppressAutoHyphens w:val="true"/>
        <w:spacing w:before="120" w:after="12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Projektligji është paraqitur për shqyrtim dhe miratim nga Këshilli i Ministrave, sipas përcaktimeve të neneve 78, 83, pika 1 të Kushtetutës së Republikës së Shqipërisë, dhe shoqërohet me relacionin përkatës sipas nenit 68 të Rregullores së Kuvendit të Republikës së Shqipërisë.</w:t>
      </w:r>
    </w:p>
    <w:p>
      <w:pPr>
        <w:suppressAutoHyphens w:val="true"/>
        <w:spacing w:before="120" w:after="12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Për miratimin e këtij projektligji kërkohet votimi nga shumica e deputetëve të Kuvendit të Shqipërisë, në prani të më shumë se gjysmës së të gjithë anëtarëve të tij, sikurse përcaktuar në nenin 78, pika 1 e Kushtetutës së Republikës së Shqipërisë.</w:t>
      </w:r>
    </w:p>
    <w:p>
      <w:pPr>
        <w:numPr>
          <w:ilvl w:val="0"/>
          <w:numId w:val="11"/>
        </w:numPr>
        <w:suppressAutoHyphens w:val="true"/>
        <w:spacing w:before="120" w:after="120" w:line="276"/>
        <w:ind w:right="0" w:left="720" w:hanging="36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QËLLIMI, PËRMBAJTJA DHE RISITË E PROJEKTLIGJIT </w:t>
      </w:r>
    </w:p>
    <w:p>
      <w:pPr>
        <w:suppressAutoHyphens w:val="true"/>
        <w:spacing w:before="120" w:after="12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Projektligji ka për qëllim krijimin e Agjencisë Kombëtare të Shërbimeve Arsimore, përcaktimin e fushës së saj të veprimit, parimeve dhe rregullave të përgjithshme të organizimit e të funksionimit, si dhe të detyrave dhe kompetencave të saj. </w:t>
      </w:r>
    </w:p>
    <w:p>
      <w:pPr>
        <w:suppressAutoHyphens w:val="true"/>
        <w:spacing w:before="120" w:after="12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Aktualisht, një pjesë e funksioneve që parashikohen të ketë Agjencia, kryhen nga Qendra e Shërbimeve Arsimore (QSHA), e cila e ushtron veprimtarinë e saj, si institucion nën varësinë e ministrit përgjegjës për arsimin. </w:t>
      </w:r>
    </w:p>
    <w:p>
      <w:pPr>
        <w:suppressAutoHyphens w:val="true"/>
        <w:spacing w:before="120" w:after="12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Reformimi i Qendrës së Shërbimeve Arsimore ka për qëllim ofrimin e shërbimeve dhe sigurimin e aksesit publik në fushën e arsimit të lartë dhe të arsimit parauniversitar, si dhe çdo shërbim tjetër të caktuar sipas legjislacionit në fuqi, nëpërmjet përmirësimit të formës së saj të organizimit institucional, bazuar në rritjen e cilësisë së funksionimit të saj si institucion i administratës shtetërore. </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Krijimi i QSHA-së me ligj të posaçëm si person juridik do të krijonte hapësirat ligjore të nevojshme për ofrimin e shërbimeve në mënyrë autonome, duke përcaktuar rregulla, kritere si një agjenci autonome shtetërore, sipas ligjit nr.90/2012. </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Projektligji propozon organizimin dhe funksionimin e një agjencie autonome, e cila do të kryejë funksionet administrative të përcaktuara në projektligj, që plotësojnë së bashku këto kritere: a) Nuk ka nevojë për drejtim dhe mbikëqyrje të përhershme e të drejtpërdrejtë nga ministri përgjegjës për arsimin, pasi vetë agjencia, nëpërmjet organeve të brendshme, do të ushtrojë realizimin e kompetencave të saj, sipas praktikave më të mira ndërkombëtare, duke përdorur ISO9001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zbatimi i standardeve ndërkombëtare të sigurimit të cilësisë për të implementuar praktikat më të mira në vlerësime kombëtare e ndërkombëtare. </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Kërkon specializim të thellë në menaxhim, i cili nënkupton realizim të shërbimeve të saj në mënyrë autonome, për të garantuar shërbime të pavarura për qytetarët, nxënësit, studentët, kandidatët për të marrë titullin e një profesioni të rregulluar, për institucionet e arsimit parauniversitar, institucionet e arsimit të lartë (IAL), urdhrat profesionalë, institucionet dhe të tretët, duke ushtruar në këtë lloj forme funksionin e saj teknik, profesional, mbështetës dhe rekomandues të politikave arsimore dhe që mund të realizohet nga ky institucion në një nga format e organizmit të institucioneve të administratës shtetërore të përcaktuara në ligjin nr.90/2012, “Për organizimin dhe funksionimin e administratës shtetërore”. Forma më e mirë e organizimit sipas këtij ligji përcaktohet bazuar në një analizë të realizimit të funksioneve që aktualisht ofrohen nga Qendra e Shërbimeve Arsimore në fushat që ajo mbulon, duke referuar realizimin e secilit funksion sipas një forme më të përshtatshme të institucioneve të administratës shtetërore.</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Financohet në mënyrë të balancuar nga buxheti i shtetit dhe të ardhurat e krijuara, organizuar në formën e agjencisë autonome, nën mbikëqyrjen e ministrit përgjegjës për arsimin, duke pasur si burim financimi të ardhurat e krijuara nga kryerja e veprimtarisë së Agjencisë, të ardhurat e krijuara nga tarifat e shërbimeve të ofruara tek të tretët, të ardhurat e krijuara nga tarifat e shërbimeve të administrimit të provimeve për profesionet e rregulluara, si dhe të ardhurat e krijuara nga burime të tjera të ligjshme. Për sa më lart, reformimi si agjenci autonome nën mbikëqyrjen e ministrit përgjegjës për arsimin propozohet pasi funksionet administrative të sipërcituara realizohen më mirë nga kjo formë organizimi, sesa nga një ministri apo institucion varësie, në përputhje me parimin e ekonomisë, të eficiencës dhe të efektivitetit. </w:t>
      </w:r>
    </w:p>
    <w:p>
      <w:pPr>
        <w:numPr>
          <w:ilvl w:val="0"/>
          <w:numId w:val="14"/>
        </w:numPr>
        <w:suppressAutoHyphens w:val="true"/>
        <w:spacing w:before="120" w:after="120" w:line="276"/>
        <w:ind w:right="0" w:left="720" w:hanging="36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VLERËSIMI I LIGJSHMËRISË KUSHTETUESE DHE HARMONIZIMI ME LEGJISLACIONIN NË FUQI DHE AKTET NDËRKOMBËTARE</w:t>
      </w:r>
    </w:p>
    <w:p>
      <w:pPr>
        <w:suppressAutoHyphens w:val="true"/>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Projektligji është në përputhje me Kushtetutën e Republikës së Shqipërisë dhe i harmonizuar </w:t>
      </w:r>
    </w:p>
    <w:p>
      <w:pPr>
        <w:suppressAutoHyphens w:val="true"/>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me legjislacionin në fuqi.</w:t>
      </w:r>
    </w:p>
    <w:p>
      <w:pPr>
        <w:numPr>
          <w:ilvl w:val="0"/>
          <w:numId w:val="16"/>
        </w:numPr>
        <w:tabs>
          <w:tab w:val="left" w:pos="0" w:leader="none"/>
        </w:tabs>
        <w:suppressAutoHyphens w:val="true"/>
        <w:spacing w:before="120" w:after="120" w:line="276"/>
        <w:ind w:right="0" w:left="720" w:hanging="360"/>
        <w:jc w:val="both"/>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Vlerësimi i përputhshmërisë së projektligjit me acquis e Bashkimit Evropian</w:t>
      </w:r>
    </w:p>
    <w:p>
      <w:pPr>
        <w:suppressAutoHyphens w:val="true"/>
        <w:spacing w:before="0" w:after="0" w:line="276"/>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Ky projektligj nuk synon përafrimin e legjislacionit shqiptar me </w:t>
      </w:r>
      <w:r>
        <w:rPr>
          <w:rFonts w:ascii="Times New Roman" w:hAnsi="Times New Roman" w:cs="Times New Roman" w:eastAsia="Times New Roman"/>
          <w:i/>
          <w:color w:val="000000"/>
          <w:spacing w:val="0"/>
          <w:position w:val="0"/>
          <w:sz w:val="24"/>
          <w:shd w:fill="auto" w:val="clear"/>
        </w:rPr>
        <w:t xml:space="preserve">acquis </w:t>
      </w:r>
      <w:r>
        <w:rPr>
          <w:rFonts w:ascii="Times New Roman" w:hAnsi="Times New Roman" w:cs="Times New Roman" w:eastAsia="Times New Roman"/>
          <w:color w:val="000000"/>
          <w:spacing w:val="0"/>
          <w:position w:val="0"/>
          <w:sz w:val="24"/>
          <w:shd w:fill="auto" w:val="clear"/>
        </w:rPr>
        <w:t xml:space="preserve">e Bashkimit Evropian. </w:t>
      </w:r>
    </w:p>
    <w:p>
      <w:pPr>
        <w:numPr>
          <w:ilvl w:val="0"/>
          <w:numId w:val="18"/>
        </w:numPr>
        <w:suppressAutoHyphens w:val="true"/>
        <w:spacing w:before="120" w:after="120" w:line="276"/>
        <w:ind w:right="0" w:left="720" w:hanging="36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PLANI KOMBËTAR PËR INTEGRIMIN EVROPIAN 2024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 2026</w:t>
      </w:r>
    </w:p>
    <w:p>
      <w:pPr>
        <w:suppressAutoHyphens w:val="true"/>
        <w:spacing w:before="120" w:after="12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Projektligji nuk është parashikuar në Planin Kombëtar për Integrimin Evropian (PKIE) 2024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2026, sikurse miratuar me Vendimin e K</w:t>
      </w:r>
      <w:r>
        <w:rPr>
          <w:rFonts w:ascii="Times New Roman" w:hAnsi="Times New Roman" w:cs="Times New Roman" w:eastAsia="Times New Roman"/>
          <w:color w:val="auto"/>
          <w:spacing w:val="0"/>
          <w:position w:val="0"/>
          <w:sz w:val="24"/>
          <w:shd w:fill="auto" w:val="clear"/>
        </w:rPr>
        <w:t xml:space="preserve">ëshillit të Ministrave Nr. 16, datë 11.1.2024 “Për miratimin e Planit Kombëtar për Integrimin Evropian 2024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2026</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pasi ai përcakton aderimin në një marrëveshje ndërkombëtare dhe nuk synon përafrimin e legjislacionit të Bashkimit Evropian.</w:t>
      </w:r>
    </w:p>
    <w:p>
      <w:pPr>
        <w:numPr>
          <w:ilvl w:val="0"/>
          <w:numId w:val="20"/>
        </w:numPr>
        <w:suppressAutoHyphens w:val="true"/>
        <w:spacing w:before="120" w:after="120" w:line="276"/>
        <w:ind w:right="0" w:left="720" w:hanging="36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KONSULTIMI PUBLIK </w:t>
      </w:r>
    </w:p>
    <w:p>
      <w:pPr>
        <w:suppressAutoHyphens w:val="true"/>
        <w:spacing w:before="0" w:after="160" w:line="259"/>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Projektligji është publikuar për konsultim publik në regjistrin elektronik të njoftimeve dhe konsultimeve publike nga data 9.7.2025 deri më 6.8.2025 dhe është hartuar tabela për përpunimin e të dhënave në funksion të hartimit të raportit për njoftimin e konsultimin publik.</w:t>
      </w:r>
    </w:p>
    <w:p>
      <w:pPr>
        <w:numPr>
          <w:ilvl w:val="0"/>
          <w:numId w:val="22"/>
        </w:numPr>
        <w:tabs>
          <w:tab w:val="left" w:pos="810" w:leader="none"/>
          <w:tab w:val="left" w:pos="900" w:leader="none"/>
        </w:tabs>
        <w:suppressAutoHyphens w:val="true"/>
        <w:spacing w:before="120" w:after="120" w:line="276"/>
        <w:ind w:right="0" w:left="720" w:hanging="36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EFEKTET FINANCIARE TË AKTIT </w:t>
      </w:r>
    </w:p>
    <w:p>
      <w:pPr>
        <w:suppressAutoHyphens w:val="true"/>
        <w:spacing w:before="240" w:after="0" w:line="259"/>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Referuar relacionit që shoqëron projektligjin, projektligji parashikon se Ministria e Arsimit aktualisht financon Qendrën e Shërbimeve Arsimore për procesin e maturës shtetërore dhe vlerësimin e provimeve të ciklit 9-vjeçar në shumën totale prej 30.000.000 lekësh/vit. Kjo shumë përbën 24% të buxhetit total të QSHA-së, ndërsa 76% e buxhetit, që përfitohet nga të ardhurat e QSHA-së, shpenzohen për  shpenzime utilitare, prokurime, honorare nga provimet e shtetit, si dhe nga honoraret e mbetura nga matura shtetërore. Shpenzimet totale zënë rreth 88% të të ardhurave. Të gjitha shpenzimet e tjera, përfshirë pagat dhe kontributet e sigurimeve shoqërore, përballohen nga të ardhurat e veta. Në varësi me statusin juridik të AKSHA-s (agjenci autonome apo me financim të balancuar nga buxheti) do të përllogariten efektet financiare konkrete, pasi aktualisht është e pamundur të përllogariten.</w:t>
      </w:r>
    </w:p>
    <w:p>
      <w:pPr>
        <w:numPr>
          <w:ilvl w:val="0"/>
          <w:numId w:val="24"/>
        </w:numPr>
        <w:tabs>
          <w:tab w:val="left" w:pos="990" w:leader="none"/>
        </w:tabs>
        <w:suppressAutoHyphens w:val="true"/>
        <w:spacing w:before="120" w:after="120" w:line="276"/>
        <w:ind w:right="0" w:left="720" w:hanging="36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DISKUTIMI NË KOMISION</w:t>
      </w:r>
    </w:p>
    <w:p>
      <w:pPr>
        <w:suppressAutoHyphens w:val="true"/>
        <w:spacing w:before="120" w:after="12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Ministri i Arsimit, znj. Mirela Kumbaro, gjatë fjalës së saj për prezantimin e projektligjit, theksoi rëndësinë e miratimit të tij, pasi ky ligj i cili do të kthejë agjencinë në funksionale, duke rritur besueshmërinë, standardet dhe cilësinë me çfarë na kërkon integrimi evropian. Baza ligjore aktuale ka parashikuar në akte të ndryshme procedurat e organizmit dhe funksionimit të QSHA-së, si rezultat i miratimit të këtij ligji do të krijohet mundësia e rregullimit të bazës ligjore me një akt të vetëm, me qëllim ofrimin e shërbimeve në mënyrë autonome më të qartë dhe të qëndrueshme. Nisur nga nevoja për autonomi në ofrimin e shërbimeve arsimore në kuadër të meritokracisë, është ndërmarrë nisma ligjore për ndryshimin e statusit të QSHA-së duke e shndërruar në agjenci autonome nën mbikqyrjen e ministrit përgjegjës për arsimin bazuar dhe në përcaktimet e ligjit 90/2012 “Për organizimin dhe funksionimin e administratës shtetërore”.</w:t>
      </w:r>
    </w:p>
    <w:p>
      <w:pPr>
        <w:suppressAutoHyphens w:val="true"/>
        <w:spacing w:before="120" w:after="12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Nga ana tjetër, znj. Kumbaro sqaroi se krijimi i agjencisë në fushën e shërbimeve arsimore përbën një hap të rëndësishëm në plotësimin e nevojave në fushën e arsimit dhe përmbushjen e objektivave konkretë e të arritshëm. Hartimi i projektligjit synon të theksojë rolin e Agjencisë në kuadër të funksionimit dhe të organizimit të saj, në përputhje me normat e rregullat e parashikuara në legjislacionin e brendshëm, si dhe duke marrë në konsideratë edhe standardet ndërkombëtare dhe praktikat më të mira të ndërmarra në fushën e shërbimeve arsimore.  . </w:t>
      </w:r>
    </w:p>
    <w:p>
      <w:pPr>
        <w:suppressAutoHyphens w:val="true"/>
        <w:spacing w:before="120" w:after="12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Znj. Kumbaro parashtroi objektivat kryesorë të Agjencisë së Shërbimeve Arsimore, duke filluar me një Strategji e re afatgjatë e bazuar në praktikat më të mira ndërkombëtare; Analizë të dhënash dhe kërkime shkencore mbi vlerësimin, mbi bazën e të cilave do të hartohen politikat arsimore; Përputhje të strukturave dhe sistemeve të brendshme për një agjenci kombëtare efektive dhe me impakt pozitiv në sistemin arsimor; Autonomi dhe stabilitet financiar, qëndrueshmëri financiare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nd</w:t>
      </w:r>
      <w:r>
        <w:rPr>
          <w:rFonts w:ascii="Times New Roman" w:hAnsi="Times New Roman" w:cs="Times New Roman" w:eastAsia="Times New Roman"/>
          <w:color w:val="auto"/>
          <w:spacing w:val="0"/>
          <w:position w:val="0"/>
          <w:sz w:val="24"/>
          <w:shd w:fill="auto" w:val="clear"/>
        </w:rPr>
        <w:t xml:space="preserve">ërtimi i stabilitetit financiar, investimi afatgjatë dhe autonomia financiare nëpërmjet produkteve dhe shërbimeve të reja; Standarde të njohura ndërkombëtarisht (ISO9001) dhe përmirësimi i cilësisë. Shërbime të vlerësimit, sipas praktikave më të mira ndërkombëtare, duke përdorur ISO9001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zbatimi i standardeve nd</w:t>
      </w:r>
      <w:r>
        <w:rPr>
          <w:rFonts w:ascii="Times New Roman" w:hAnsi="Times New Roman" w:cs="Times New Roman" w:eastAsia="Times New Roman"/>
          <w:color w:val="auto"/>
          <w:spacing w:val="0"/>
          <w:position w:val="0"/>
          <w:sz w:val="24"/>
          <w:shd w:fill="auto" w:val="clear"/>
        </w:rPr>
        <w:t xml:space="preserve">ërkombëtare të sigurimit të cilësisë për të implementuar praktikat më të mira në vlerësimin kombëtar; Vlerësimi kombëtar i arsimit në Shqipëri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nd</w:t>
      </w:r>
      <w:r>
        <w:rPr>
          <w:rFonts w:ascii="Times New Roman" w:hAnsi="Times New Roman" w:cs="Times New Roman" w:eastAsia="Times New Roman"/>
          <w:color w:val="auto"/>
          <w:spacing w:val="0"/>
          <w:position w:val="0"/>
          <w:sz w:val="24"/>
          <w:shd w:fill="auto" w:val="clear"/>
        </w:rPr>
        <w:t xml:space="preserve">ërtimi i një strategjie të plotë dhe të integruar të vlerësimit, që mbulon vlerësimin kombëtar, vlerësimin nga mësuesit e shkollat, si dhe vlerësimet ndërkombëtare; Informim të politikave arsimore nëpërmjet të dhënave, si dhe përdorimi i tyre nga vlerësimi për të informuar dhe kontribuuar në politikat arsimore kombëtare; Përmirësimi i rezultateve të nxënësve dhe i mundësive të studentëve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sigurimi q</w:t>
      </w:r>
      <w:r>
        <w:rPr>
          <w:rFonts w:ascii="Times New Roman" w:hAnsi="Times New Roman" w:cs="Times New Roman" w:eastAsia="Times New Roman"/>
          <w:color w:val="auto"/>
          <w:spacing w:val="0"/>
          <w:position w:val="0"/>
          <w:sz w:val="24"/>
          <w:shd w:fill="auto" w:val="clear"/>
        </w:rPr>
        <w:t xml:space="preserve">ë puna e Agjencisë së Shërbimeve Arsimore të kontribuojë drejtpërdrejt në mundësi më të mira për studentët, përmirësimin e rezultateve të nxënësve dhe përfitime më të gjera socio-ekonomike. Në zbatim të memorandumit të mirëkuptimit ndërmjet Ministrisë së Arsimit dhe Sportit dhe Fondit Shqiptaro-Amerikan të Zhvillimit (AADF), janë kontraktuar ekspertë britanikë nga Cambridge Assessment International Education, të cilët, pasi kryen studimin në terren, propozuan transformimin e QSHA-së dhe variantin e krijimit të një agjencie autonome kombëtare të arsimit. Në zbatim të këtij projekti synohet që QSHA-ja të kthehet në një nga institucionet më të mira në rajon e më gjerë dhe brenda disa viteve të marrë certifikatën ISO9001.</w:t>
      </w:r>
    </w:p>
    <w:p>
      <w:pPr>
        <w:suppressAutoHyphens w:val="true"/>
        <w:spacing w:before="0" w:after="160" w:line="259"/>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Në përfundim, pasi parashtroi mbi zvogëlimin e kohës në dhënien e shërbimeve dhe rritjen e numrit të shërbimeve, vlerësoi gadishmërinë për tu përgjigjur pyetjeve, u shpreh besimplotë në mbështetjen për rritjen e cilësisë së arsimit dhe të shërbimeve arsimore. </w:t>
      </w:r>
    </w:p>
    <w:p>
      <w:pPr>
        <w:suppressAutoHyphens w:val="true"/>
        <w:spacing w:before="0" w:after="160" w:line="259"/>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Relatorja e projektligjit, znj. Ana Nako, u shpreh se sot do të shqyrtojmë projektligjin “Për krijimin e Agjencisë Kombëtare të Shërbimeve Arsimore”, nismë që synon modernizimin dhe riorganizimin e shërbimeve arsimore në vend. Ky projektligj vjen si një hap i rëndësishëm për të forcuar administrimin, cilësinë dhe efikasitetin e proceseve që lidhen me arsimin parauniversitar, arsimin e lartë dhe profesionet e rregulluara.</w:t>
      </w:r>
    </w:p>
    <w:p>
      <w:pPr>
        <w:suppressAutoHyphens w:val="true"/>
        <w:spacing w:before="0" w:after="160" w:line="259"/>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Znj. Nako relatoi se në thelb, projektligji transformon strukturën ekzistuese të Qendrës së Shërbimeve Arsimore në një agjenci autonome, me kompetenca më të qarta dhe me instrumente më të forta organizimi e menaxhimi. Kjo do të thotë më shumë kapacitet institucional për të administruar provimet kombëtare, maturën shtetërore, njohjen e diplomave, regjistrat shtetërorë të arsimit, si dhe proceset e vlerësimeve kombëtare e ndërkombëtare.</w:t>
      </w:r>
    </w:p>
    <w:p>
      <w:pPr>
        <w:suppressAutoHyphens w:val="true"/>
        <w:spacing w:before="0" w:after="160" w:line="259"/>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Një nga pikat më të rëndësishme të këtij projektligji është rritja e standardeve të transparencës dhe profesionalizmit. Agjencia parashikohet të funksionojë mbi parime të qarta ligjshmërie, objektiviteti, paanësie dhe eficience, duke garantuar që shërbimet ndaj nxënësve, studentëve, institucioneve arsimore dhe qytetarëve të jenë më të shpejta, më cilësore dhe më të besueshme.</w:t>
      </w:r>
    </w:p>
    <w:p>
      <w:pPr>
        <w:suppressAutoHyphens w:val="true"/>
        <w:spacing w:before="0" w:after="160" w:line="259"/>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Po ashtu, projektligji sjell një qasje më të integruar në përdorimin e teknologjisë dhe administrimin e bazave shtetërore të të dhënave në arsim, në bashkëpunim me institucionet përgjegjëse të qeverisjes elektronike. Kjo është thelbësore për kohën që jetojmë, ku digjitalizimi nuk është më alternativë, por domosdoshmëri.</w:t>
      </w:r>
    </w:p>
    <w:p>
      <w:pPr>
        <w:suppressAutoHyphens w:val="true"/>
        <w:spacing w:before="0" w:after="160" w:line="259"/>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Sigurisht, çdo reformë institucionale kërkon vëmendje në zbatim. Ndaj, përgjegjësia jonë si komision është të garantojmë që kjo agjenci të ketë jo vetëm bazën ligjore të duhur, por edhe mekanizma efektivë mbikëqyrjeje, llogaridhënieje dhe përdorimi të drejtë të fondeve publike.</w:t>
      </w:r>
    </w:p>
    <w:p>
      <w:pPr>
        <w:suppressAutoHyphens w:val="true"/>
        <w:spacing w:before="0" w:after="160" w:line="259"/>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Në përfundim, znj. Nako u shpreh se ky projektligj përfaqëson një mundësi reale për të përmirësuar mënyrën se si shteti ofron shërbime në arsim dhe për të ndërtuar një sistem më modern, më funksional dhe më pranë qytetarit. Për këto arsye, si relatore, e paraqiti për shqyrtim në komision me bindjen se meriton mbështetje dhe diskutim konstruktiv.</w:t>
      </w:r>
    </w:p>
    <w:p>
      <w:pPr>
        <w:suppressAutoHyphens w:val="true"/>
        <w:spacing w:before="0" w:after="160" w:line="259"/>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Relatori i projektligjit, z. Luan Baçi, në fjalën e tij për projektligjin u shpreh se ky projektligj, i sjellë në fakt, në mënyrë të nxituar dhe të imponuar nga ministria, është një tjetër lëvizje shumë e dëmshme e pushtetit ndaj sektorit më strategjik të zhvillimit të vendit: ARSIMIT. </w:t>
      </w:r>
    </w:p>
    <w:p>
      <w:pPr>
        <w:suppressAutoHyphens w:val="true"/>
        <w:spacing w:before="0" w:after="160" w:line="259"/>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Projektligj vjen në një kohë kur sistemi arsimor, është tronditur, fort, për shkak të rënies drastike të numrit të  nxënësve dhe studentëve dhe në momentin, ku dhe cilësia e mësimdhënies, është ulur në mënyrë të ndjeshme, për shkakun se e keni lënë arsimin, pa mbështetje dhe me një reformë të dështuar, që tashmë po e rishikoni, pa e pranuar dështimin.  </w:t>
      </w:r>
    </w:p>
    <w:p>
      <w:pPr>
        <w:suppressAutoHyphens w:val="true"/>
        <w:spacing w:before="0" w:after="160" w:line="259"/>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Juve si Ministri e arsimit, ende nuk keni sjellë një panoramë të qartë dhe të plotë, se sa shkolla nëntëvjeçare dhe të mesme janë mbyllur këto dy - tri vitet e fundit.</w:t>
      </w:r>
    </w:p>
    <w:p>
      <w:pPr>
        <w:suppressAutoHyphens w:val="true"/>
        <w:spacing w:before="0" w:after="160" w:line="259"/>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Ndërkohë që shifrat e INSTAT dhe institucionet ndërkombëtare, japin një panoramë të dhimbshme ndaj gjendjes së sistemit arsimor në Shqipëri.</w:t>
      </w:r>
    </w:p>
    <w:p>
      <w:pPr>
        <w:suppressAutoHyphens w:val="true"/>
        <w:spacing w:before="0" w:after="16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434343"/>
          <w:spacing w:val="0"/>
          <w:position w:val="0"/>
          <w:sz w:val="24"/>
          <w:shd w:fill="FFFFFF" w:val="clear"/>
        </w:rPr>
        <w:t xml:space="preserve">Më shumë se një e katërta e të rinjve shqiptarë, janë  pa asnjë zanat, arsim profesional, apo të lartë, të përfunduar dhe për më tepër nuk janë në asnjë lloj pune.</w:t>
      </w:r>
    </w:p>
    <w:p>
      <w:pPr>
        <w:suppressAutoHyphens w:val="true"/>
        <w:spacing w:before="0" w:after="160" w:line="240"/>
        <w:ind w:right="0" w:left="0" w:firstLine="0"/>
        <w:jc w:val="both"/>
        <w:rPr>
          <w:rFonts w:ascii="Times New Roman" w:hAnsi="Times New Roman" w:cs="Times New Roman" w:eastAsia="Times New Roman"/>
          <w:color w:val="434343"/>
          <w:spacing w:val="0"/>
          <w:position w:val="0"/>
          <w:sz w:val="24"/>
          <w:shd w:fill="FFFFFF" w:val="clear"/>
        </w:rPr>
      </w:pPr>
      <w:r>
        <w:rPr>
          <w:rFonts w:ascii="Times New Roman" w:hAnsi="Times New Roman" w:cs="Times New Roman" w:eastAsia="Times New Roman"/>
          <w:color w:val="434343"/>
          <w:spacing w:val="0"/>
          <w:position w:val="0"/>
          <w:sz w:val="24"/>
          <w:shd w:fill="FFFFFF" w:val="clear"/>
        </w:rPr>
        <w:t xml:space="preserve">Të dhënat zyrtare të INSTAT, tregojnë se për periudhën 2020</w:t>
      </w:r>
      <w:r>
        <w:rPr>
          <w:rFonts w:ascii="Times New Roman" w:hAnsi="Times New Roman" w:cs="Times New Roman" w:eastAsia="Times New Roman"/>
          <w:color w:val="434343"/>
          <w:spacing w:val="0"/>
          <w:position w:val="0"/>
          <w:sz w:val="24"/>
          <w:shd w:fill="FFFFFF" w:val="clear"/>
        </w:rPr>
        <w:t xml:space="preserve">–</w:t>
      </w:r>
      <w:r>
        <w:rPr>
          <w:rFonts w:ascii="Times New Roman" w:hAnsi="Times New Roman" w:cs="Times New Roman" w:eastAsia="Times New Roman"/>
          <w:color w:val="434343"/>
          <w:spacing w:val="0"/>
          <w:position w:val="0"/>
          <w:sz w:val="24"/>
          <w:shd w:fill="FFFFFF" w:val="clear"/>
        </w:rPr>
        <w:t xml:space="preserve">2025, totali i nx</w:t>
      </w:r>
      <w:r>
        <w:rPr>
          <w:rFonts w:ascii="Times New Roman" w:hAnsi="Times New Roman" w:cs="Times New Roman" w:eastAsia="Times New Roman"/>
          <w:color w:val="434343"/>
          <w:spacing w:val="0"/>
          <w:position w:val="0"/>
          <w:sz w:val="24"/>
          <w:shd w:fill="FFFFFF" w:val="clear"/>
        </w:rPr>
        <w:t xml:space="preserve">ënësve të regjistruar në të gjitha nivelet, ka rënë me rreth 61 mijë, që përbën një tkurrje prej 10%. </w:t>
      </w:r>
    </w:p>
    <w:p>
      <w:pPr>
        <w:suppressAutoHyphens w:val="true"/>
        <w:spacing w:before="0" w:after="16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434343"/>
          <w:spacing w:val="0"/>
          <w:position w:val="0"/>
          <w:sz w:val="24"/>
          <w:shd w:fill="FFFFFF" w:val="clear"/>
        </w:rPr>
        <w:t xml:space="preserve">Ndërsa gjatë dekadës, nga viti 2015 deri më 1 janar 2025, numri i nxënësve në arsimin parauniversitar, ra me mbi 31%, ose 112 mijë më pak.</w:t>
      </w:r>
    </w:p>
    <w:p>
      <w:pPr>
        <w:suppressAutoHyphens w:val="true"/>
        <w:spacing w:before="0" w:after="16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Sektori i Arsimit ka shënuar një rënie prej 46%, një shifër mjaft e lartë që reflekton emigrimin masiv të të rinjve, çka ka pakësuar të ardhurat për institucionet arsimore private.</w:t>
      </w:r>
    </w:p>
    <w:p>
      <w:pPr>
        <w:suppressAutoHyphens w:val="true"/>
        <w:spacing w:before="0" w:after="16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Për tu kthyer tek projektligjit më lejoni të vlerësoj me shqetësim se:</w:t>
      </w:r>
    </w:p>
    <w:p>
      <w:pPr>
        <w:suppressAutoHyphens w:val="true"/>
        <w:spacing w:before="0" w:after="160" w:line="259"/>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1}Përqendrimi i hartimit dhe zbatimit të politikave publike arsimore, tek një  organizatë private, Fondacionit Shqiptaro-Amerikan për Zhvillim (AADF),  shmang procedurat shtetërore, si prokurimet publike apo kontrollin institucional. </w:t>
      </w:r>
    </w:p>
    <w:p>
      <w:pPr>
        <w:suppressAutoHyphens w:val="true"/>
        <w:spacing w:before="0" w:after="160" w:line="259"/>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Me këtë projektligj:</w:t>
      </w:r>
    </w:p>
    <w:p>
      <w:pPr>
        <w:suppressAutoHyphens w:val="true"/>
        <w:spacing w:before="0" w:after="160" w:line="259"/>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2}Vihet  në pikëpyetje transparenca dhe llogaridhënia ndaj përdorimit të buxhetit publik në implementimin e projekteve të ndryshme.</w:t>
      </w:r>
    </w:p>
    <w:p>
      <w:pPr>
        <w:suppressAutoHyphens w:val="true"/>
        <w:spacing w:before="0" w:after="160" w:line="259"/>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Disa  nga pyetjet kyçe që lindin: </w:t>
      </w:r>
    </w:p>
    <w:p>
      <w:pPr>
        <w:suppressAutoHyphens w:val="true"/>
        <w:spacing w:before="0" w:after="160" w:line="259"/>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Kush do ta masë  performancën e agjencisë, për sa kohë, që AADF-ja është e përzgjedhura e vetë ministrisë?</w:t>
      </w:r>
    </w:p>
    <w:p>
      <w:pPr>
        <w:suppressAutoHyphens w:val="true"/>
        <w:spacing w:before="0" w:after="160" w:line="259"/>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Në çfarë mënyrë, fondacioni, AADF-ja do të implementojë ekspertizat më të mira ndërkombëtare   në projektet  arsimore, kur pikërisht nga këto institucione ndërkombëtare, sistemin arsimor shqiptar e kane mbetur në klasë dhe këtu i referohem Testit të PISA-s? </w:t>
      </w:r>
    </w:p>
    <w:p>
      <w:pPr>
        <w:suppressAutoHyphens w:val="true"/>
        <w:spacing w:before="0" w:after="160" w:line="259"/>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Pavarësisht se ju justifikoheni me kohën e pandemisë, për rezultatet skandaloze të vlerësimit të PISA-s gjë që nuk ju justifikon.</w:t>
      </w:r>
    </w:p>
    <w:p>
      <w:pPr>
        <w:suppressAutoHyphens w:val="true"/>
        <w:spacing w:before="0" w:after="160" w:line="259"/>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C} Pse nuk ka paraqitur Ministria e Arsimit dhe  Fondacioni Shqiptaro-Amerikan për Zhvillim, një draft strukturor të qartë, se si do të funksionojë  kjo Agjenci.</w:t>
      </w:r>
    </w:p>
    <w:p>
      <w:pPr>
        <w:suppressAutoHyphens w:val="true"/>
        <w:spacing w:before="0" w:after="160" w:line="259"/>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Lidhur me: </w:t>
      </w:r>
    </w:p>
    <w:p>
      <w:pPr>
        <w:suppressAutoHyphens w:val="true"/>
        <w:spacing w:before="0" w:after="160" w:line="259"/>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Vlerësimin e pasojave që ka sjellë emigrimi i të rinjve dhe mësuesve në sistemin arsimor?</w:t>
      </w:r>
    </w:p>
    <w:p>
      <w:pPr>
        <w:suppressAutoHyphens w:val="true"/>
        <w:spacing w:before="0" w:after="160" w:line="259"/>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Menaxhimin dhe rritjen e besueshmërisë, të proceseve të provimeve?</w:t>
      </w:r>
    </w:p>
    <w:p>
      <w:pPr>
        <w:suppressAutoHyphens w:val="true"/>
        <w:spacing w:before="0" w:after="160" w:line="259"/>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Përdorimin e modeleve ndërkombëtare, të administrimit dhe vlerësimit të sistemit edukim arsimimim?</w:t>
      </w:r>
    </w:p>
    <w:p>
      <w:pPr>
        <w:suppressAutoHyphens w:val="true"/>
        <w:spacing w:before="0" w:after="160" w:line="259"/>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Po lidhur me  Digjitalizimin dhe modernizimin e sistemit?</w:t>
      </w:r>
    </w:p>
    <w:p>
      <w:pPr>
        <w:suppressAutoHyphens w:val="true"/>
        <w:spacing w:before="0" w:after="160" w:line="259"/>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Ku përfshihet:</w:t>
      </w:r>
    </w:p>
    <w:p>
      <w:pPr>
        <w:suppressAutoHyphens w:val="true"/>
        <w:spacing w:before="0" w:after="160" w:line="259"/>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Përmirësimi teknologjik i proceseve arsimore dhe krijimin e databazave për to:</w:t>
      </w:r>
    </w:p>
    <w:p>
      <w:pPr>
        <w:suppressAutoHyphens w:val="true"/>
        <w:spacing w:before="0" w:after="160" w:line="259"/>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Planifikim të sistemit dhe edukimit digjital, si p.sh. (laboratorë TIK, platforma online), trajnimi i mësuesve etj..</w:t>
      </w:r>
    </w:p>
    <w:p>
      <w:pPr>
        <w:suppressAutoHyphens w:val="true"/>
        <w:spacing w:before="0" w:after="160" w:line="259"/>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Zhvillimi i aftësive të tregut të punës</w:t>
      </w:r>
    </w:p>
    <w:p>
      <w:pPr>
        <w:suppressAutoHyphens w:val="true"/>
        <w:spacing w:before="0" w:after="160" w:line="259"/>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Reduktim i kohës së korrigjimit të testeve dhe kostove administrative e të tjera si këto?</w:t>
      </w:r>
    </w:p>
    <w:p>
      <w:pPr>
        <w:suppressAutoHyphens w:val="true"/>
        <w:spacing w:before="0" w:after="160" w:line="259"/>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Roli i fondacionit AADF, nuk është thjesht financues, por ai merr rol në drejtim dhe zbatim të politikave arsimore publike dhe këtu qëndron edhe problem me i madh.</w:t>
      </w:r>
    </w:p>
    <w:p>
      <w:pPr>
        <w:suppressAutoHyphens w:val="true"/>
        <w:spacing w:before="0" w:after="160" w:line="259"/>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Modeli partneriteti publik</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privat ka sjell</w:t>
      </w:r>
      <w:r>
        <w:rPr>
          <w:rFonts w:ascii="Times New Roman" w:hAnsi="Times New Roman" w:cs="Times New Roman" w:eastAsia="Times New Roman"/>
          <w:color w:val="auto"/>
          <w:spacing w:val="0"/>
          <w:position w:val="0"/>
          <w:sz w:val="24"/>
          <w:shd w:fill="auto" w:val="clear"/>
        </w:rPr>
        <w:t xml:space="preserve">ë jo pak dështime, vecanërisht ne sektorin tjetër strategjik, atë të shëndetësisë, ku abuzimi me taksat e shqiptarëve, tashme eshte vertetuar, si tejet i lartë.</w:t>
      </w:r>
    </w:p>
    <w:p>
      <w:pPr>
        <w:suppressAutoHyphens w:val="true"/>
        <w:spacing w:before="0" w:after="240" w:line="240"/>
        <w:ind w:right="0" w:left="0" w:firstLine="0"/>
        <w:jc w:val="both"/>
        <w:rPr>
          <w:rFonts w:ascii="Times New Roman" w:hAnsi="Times New Roman" w:cs="Times New Roman" w:eastAsia="Times New Roman"/>
          <w:color w:val="222222"/>
          <w:spacing w:val="0"/>
          <w:position w:val="0"/>
          <w:sz w:val="24"/>
          <w:shd w:fill="FFFFFF" w:val="clear"/>
        </w:rPr>
      </w:pPr>
      <w:r>
        <w:rPr>
          <w:rFonts w:ascii="Times New Roman" w:hAnsi="Times New Roman" w:cs="Times New Roman" w:eastAsia="Times New Roman"/>
          <w:color w:val="222222"/>
          <w:spacing w:val="0"/>
          <w:position w:val="0"/>
          <w:sz w:val="24"/>
          <w:shd w:fill="FFFFFF" w:val="clear"/>
        </w:rPr>
        <w:t xml:space="preserve">Në mënyrë të përmbledhur, disa nga shqetësimet për ngritjen e kësaj agjencie janë:</w:t>
      </w:r>
    </w:p>
    <w:p>
      <w:pPr>
        <w:suppressAutoHyphens w:val="true"/>
        <w:spacing w:before="0" w:after="240" w:line="240"/>
        <w:ind w:right="0" w:left="0" w:firstLine="0"/>
        <w:jc w:val="both"/>
        <w:rPr>
          <w:rFonts w:ascii="Times New Roman" w:hAnsi="Times New Roman" w:cs="Times New Roman" w:eastAsia="Times New Roman"/>
          <w:color w:val="222222"/>
          <w:spacing w:val="0"/>
          <w:position w:val="0"/>
          <w:sz w:val="24"/>
          <w:shd w:fill="FFFFFF" w:val="clear"/>
        </w:rPr>
      </w:pPr>
      <w:r>
        <w:rPr>
          <w:rFonts w:ascii="Times New Roman" w:hAnsi="Times New Roman" w:cs="Times New Roman" w:eastAsia="Times New Roman"/>
          <w:color w:val="222222"/>
          <w:spacing w:val="0"/>
          <w:position w:val="0"/>
          <w:sz w:val="24"/>
          <w:shd w:fill="FFFFFF" w:val="clear"/>
        </w:rPr>
        <w:t xml:space="preserve">Në vazhdim te pyetjeve që drejtova më lart:</w:t>
      </w:r>
    </w:p>
    <w:p>
      <w:pPr>
        <w:suppressAutoHyphens w:val="true"/>
        <w:spacing w:before="0" w:after="160" w:line="240"/>
        <w:ind w:right="0" w:left="0" w:firstLine="0"/>
        <w:jc w:val="both"/>
        <w:rPr>
          <w:rFonts w:ascii="Times New Roman" w:hAnsi="Times New Roman" w:cs="Times New Roman" w:eastAsia="Times New Roman"/>
          <w:color w:val="222222"/>
          <w:spacing w:val="0"/>
          <w:position w:val="0"/>
          <w:sz w:val="24"/>
          <w:shd w:fill="FFFFFF" w:val="clear"/>
        </w:rPr>
      </w:pPr>
      <w:r>
        <w:rPr>
          <w:rFonts w:ascii="Times New Roman" w:hAnsi="Times New Roman" w:cs="Times New Roman" w:eastAsia="Times New Roman"/>
          <w:color w:val="222222"/>
          <w:spacing w:val="0"/>
          <w:position w:val="0"/>
          <w:sz w:val="24"/>
          <w:shd w:fill="FFFFFF" w:val="clear"/>
        </w:rPr>
        <w:t xml:space="preserve">A ka mbivendosje të detyrave me institucione ekzistuese? (p.sh. ministria e arsimit, drejtoritë arsimore) dhe për pasojë, si do të shmaget konfuzioni në ndarjen e përgjegjësive ?</w:t>
      </w:r>
    </w:p>
    <w:p>
      <w:pPr>
        <w:suppressAutoHyphens w:val="true"/>
        <w:spacing w:before="0" w:after="160" w:line="240"/>
        <w:ind w:right="0" w:left="0" w:firstLine="0"/>
        <w:jc w:val="both"/>
        <w:rPr>
          <w:rFonts w:ascii="Times New Roman" w:hAnsi="Times New Roman" w:cs="Times New Roman" w:eastAsia="Times New Roman"/>
          <w:color w:val="222222"/>
          <w:spacing w:val="0"/>
          <w:position w:val="0"/>
          <w:sz w:val="24"/>
          <w:shd w:fill="FFFFFF" w:val="clear"/>
        </w:rPr>
      </w:pPr>
      <w:r>
        <w:rPr>
          <w:rFonts w:ascii="Times New Roman" w:hAnsi="Times New Roman" w:cs="Times New Roman" w:eastAsia="Times New Roman"/>
          <w:b/>
          <w:color w:val="222222"/>
          <w:spacing w:val="0"/>
          <w:position w:val="0"/>
          <w:sz w:val="24"/>
          <w:shd w:fill="FFFFFF" w:val="clear"/>
        </w:rPr>
        <w:t xml:space="preserve">Kjo agjenci, që emërohet nga qeveria, por është dhe e pavarur, do ti zbusë, apo do ti shtojë edhe më tej burokracinë dhe centralizimin</w:t>
      </w:r>
      <w:r>
        <w:rPr>
          <w:rFonts w:ascii="Times New Roman" w:hAnsi="Times New Roman" w:cs="Times New Roman" w:eastAsia="Times New Roman"/>
          <w:color w:val="222222"/>
          <w:spacing w:val="0"/>
          <w:position w:val="0"/>
          <w:sz w:val="24"/>
          <w:shd w:fill="FFFFFF" w:val="clear"/>
        </w:rPr>
        <w:t xml:space="preserve"> në Vendimmarrje?</w:t>
      </w:r>
    </w:p>
    <w:p>
      <w:pPr>
        <w:numPr>
          <w:ilvl w:val="0"/>
          <w:numId w:val="31"/>
        </w:numPr>
        <w:tabs>
          <w:tab w:val="left" w:pos="720" w:leader="none"/>
          <w:tab w:val="left" w:pos="270" w:leader="none"/>
        </w:tabs>
        <w:spacing w:before="0" w:after="160" w:line="240"/>
        <w:ind w:right="0" w:left="90" w:hanging="90"/>
        <w:jc w:val="both"/>
        <w:rPr>
          <w:rFonts w:ascii="Times New Roman" w:hAnsi="Times New Roman" w:cs="Times New Roman" w:eastAsia="Times New Roman"/>
          <w:color w:val="222222"/>
          <w:spacing w:val="0"/>
          <w:position w:val="0"/>
          <w:sz w:val="24"/>
          <w:shd w:fill="FFFFFF" w:val="clear"/>
        </w:rPr>
      </w:pPr>
      <w:r>
        <w:rPr>
          <w:rFonts w:ascii="Times New Roman" w:hAnsi="Times New Roman" w:cs="Times New Roman" w:eastAsia="Times New Roman"/>
          <w:color w:val="222222"/>
          <w:spacing w:val="0"/>
          <w:position w:val="0"/>
          <w:sz w:val="24"/>
          <w:shd w:fill="FFFFFF" w:val="clear"/>
        </w:rPr>
        <w:t xml:space="preserve">A do të cënohet autonomia e shkollave nga funksionimij i saj? </w:t>
      </w:r>
    </w:p>
    <w:p>
      <w:pPr>
        <w:numPr>
          <w:ilvl w:val="0"/>
          <w:numId w:val="31"/>
        </w:numPr>
        <w:tabs>
          <w:tab w:val="left" w:pos="720" w:leader="none"/>
          <w:tab w:val="left" w:pos="270" w:leader="none"/>
        </w:tabs>
        <w:spacing w:before="0" w:after="160" w:line="240"/>
        <w:ind w:right="0" w:left="90" w:hanging="90"/>
        <w:jc w:val="both"/>
        <w:rPr>
          <w:rFonts w:ascii="Times New Roman" w:hAnsi="Times New Roman" w:cs="Times New Roman" w:eastAsia="Times New Roman"/>
          <w:color w:val="222222"/>
          <w:spacing w:val="0"/>
          <w:position w:val="0"/>
          <w:sz w:val="24"/>
          <w:shd w:fill="FFFFFF" w:val="clear"/>
        </w:rPr>
      </w:pPr>
      <w:r>
        <w:rPr>
          <w:rFonts w:ascii="Times New Roman" w:hAnsi="Times New Roman" w:cs="Times New Roman" w:eastAsia="Times New Roman"/>
          <w:color w:val="222222"/>
          <w:spacing w:val="0"/>
          <w:position w:val="0"/>
          <w:sz w:val="24"/>
          <w:shd w:fill="FFFFFF" w:val="clear"/>
        </w:rPr>
        <w:t xml:space="preserve">Si do te veproni, në rast se mësuesit dhe administrata e deritanishme e qendrës arsimore,  do të cënohen nga reformat strukturore, që do të diktojë kjo agjenci, duke sjellë  humbje  të vendeve të punës dhe presion psikologjik tek mësuesit?</w:t>
      </w:r>
    </w:p>
    <w:p>
      <w:pPr>
        <w:numPr>
          <w:ilvl w:val="0"/>
          <w:numId w:val="31"/>
        </w:numPr>
        <w:tabs>
          <w:tab w:val="left" w:pos="720" w:leader="none"/>
          <w:tab w:val="left" w:pos="270" w:leader="none"/>
        </w:tabs>
        <w:spacing w:before="0" w:after="160" w:line="240"/>
        <w:ind w:right="0" w:left="90" w:hanging="90"/>
        <w:jc w:val="both"/>
        <w:rPr>
          <w:rFonts w:ascii="Times New Roman" w:hAnsi="Times New Roman" w:cs="Times New Roman" w:eastAsia="Times New Roman"/>
          <w:color w:val="222222"/>
          <w:spacing w:val="0"/>
          <w:position w:val="0"/>
          <w:sz w:val="24"/>
          <w:shd w:fill="FFFFFF" w:val="clear"/>
        </w:rPr>
      </w:pPr>
      <w:r>
        <w:rPr>
          <w:rFonts w:ascii="Times New Roman" w:hAnsi="Times New Roman" w:cs="Times New Roman" w:eastAsia="Times New Roman"/>
          <w:color w:val="222222"/>
          <w:spacing w:val="0"/>
          <w:position w:val="0"/>
          <w:sz w:val="24"/>
          <w:shd w:fill="FFFFFF" w:val="clear"/>
        </w:rPr>
        <w:t xml:space="preserve">Si do të funksionojë cështja e buxhetit dhe burimet financiare të qendrës? </w:t>
      </w:r>
    </w:p>
    <w:p>
      <w:pPr>
        <w:numPr>
          <w:ilvl w:val="0"/>
          <w:numId w:val="31"/>
        </w:numPr>
        <w:tabs>
          <w:tab w:val="left" w:pos="720" w:leader="none"/>
          <w:tab w:val="left" w:pos="270" w:leader="none"/>
        </w:tabs>
        <w:spacing w:before="0" w:after="160" w:line="240"/>
        <w:ind w:right="0" w:left="90" w:hanging="90"/>
        <w:jc w:val="both"/>
        <w:rPr>
          <w:rFonts w:ascii="Times New Roman" w:hAnsi="Times New Roman" w:cs="Times New Roman" w:eastAsia="Times New Roman"/>
          <w:color w:val="222222"/>
          <w:spacing w:val="0"/>
          <w:position w:val="0"/>
          <w:sz w:val="24"/>
          <w:shd w:fill="FFFFFF" w:val="clear"/>
        </w:rPr>
      </w:pPr>
      <w:r>
        <w:rPr>
          <w:rFonts w:ascii="Times New Roman" w:hAnsi="Times New Roman" w:cs="Times New Roman" w:eastAsia="Times New Roman"/>
          <w:color w:val="222222"/>
          <w:spacing w:val="0"/>
          <w:position w:val="0"/>
          <w:sz w:val="24"/>
          <w:shd w:fill="FFFFFF" w:val="clear"/>
        </w:rPr>
        <w:t xml:space="preserve">Po</w:t>
      </w:r>
      <w:r>
        <w:rPr>
          <w:rFonts w:ascii="Times New Roman" w:hAnsi="Times New Roman" w:cs="Times New Roman" w:eastAsia="Times New Roman"/>
          <w:b/>
          <w:color w:val="222222"/>
          <w:spacing w:val="0"/>
          <w:position w:val="0"/>
          <w:sz w:val="24"/>
          <w:shd w:fill="FFFFFF" w:val="clear"/>
        </w:rPr>
        <w:t xml:space="preserve"> </w:t>
      </w:r>
      <w:r>
        <w:rPr>
          <w:rFonts w:ascii="Times New Roman" w:hAnsi="Times New Roman" w:cs="Times New Roman" w:eastAsia="Times New Roman"/>
          <w:color w:val="222222"/>
          <w:spacing w:val="0"/>
          <w:position w:val="0"/>
          <w:sz w:val="24"/>
          <w:shd w:fill="FFFFFF" w:val="clear"/>
        </w:rPr>
        <w:t xml:space="preserve">emërimet e punonjësve në agjenci, duke qenë se agjencia, përzgjidhet nga ju, si do ta shmangni, ndikimin nga pushteti juaj?</w:t>
      </w:r>
    </w:p>
    <w:p>
      <w:pPr>
        <w:numPr>
          <w:ilvl w:val="0"/>
          <w:numId w:val="31"/>
        </w:numPr>
        <w:tabs>
          <w:tab w:val="left" w:pos="720" w:leader="none"/>
          <w:tab w:val="left" w:pos="270" w:leader="none"/>
        </w:tabs>
        <w:spacing w:before="0" w:after="160" w:line="240"/>
        <w:ind w:right="0" w:left="90" w:hanging="90"/>
        <w:jc w:val="both"/>
        <w:rPr>
          <w:rFonts w:ascii="Times New Roman" w:hAnsi="Times New Roman" w:cs="Times New Roman" w:eastAsia="Times New Roman"/>
          <w:color w:val="222222"/>
          <w:spacing w:val="0"/>
          <w:position w:val="0"/>
          <w:sz w:val="24"/>
          <w:shd w:fill="FFFFFF" w:val="clear"/>
        </w:rPr>
      </w:pPr>
      <w:r>
        <w:rPr>
          <w:rFonts w:ascii="Times New Roman" w:hAnsi="Times New Roman" w:cs="Times New Roman" w:eastAsia="Times New Roman"/>
          <w:color w:val="222222"/>
          <w:spacing w:val="0"/>
          <w:position w:val="0"/>
          <w:sz w:val="24"/>
          <w:shd w:fill="FFFFFF" w:val="clear"/>
        </w:rPr>
        <w:t xml:space="preserve">Si do të mund të arrihet që vendimet të mos jenë të pavarura nga urdhërat politikë tuaja znj. ministre dhe stafit tuaj politik ?</w:t>
      </w:r>
    </w:p>
    <w:p>
      <w:pPr>
        <w:numPr>
          <w:ilvl w:val="0"/>
          <w:numId w:val="31"/>
        </w:numPr>
        <w:suppressAutoHyphens w:val="true"/>
        <w:spacing w:before="120" w:after="120" w:line="276"/>
        <w:ind w:right="0" w:left="720" w:hanging="36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NDRYSHIME TË PROJEKTAKTIT (</w:t>
      </w:r>
      <w:r>
        <w:rPr>
          <w:rFonts w:ascii="Times New Roman" w:hAnsi="Times New Roman" w:cs="Times New Roman" w:eastAsia="Times New Roman"/>
          <w:b/>
          <w:color w:val="000000"/>
          <w:spacing w:val="0"/>
          <w:position w:val="0"/>
          <w:sz w:val="24"/>
          <w:shd w:fill="auto" w:val="clear"/>
        </w:rPr>
        <w:t xml:space="preserve">NEN PËR NEN</w:t>
      </w:r>
      <w:r>
        <w:rPr>
          <w:rFonts w:ascii="Times New Roman" w:hAnsi="Times New Roman" w:cs="Times New Roman" w:eastAsia="Times New Roman"/>
          <w:b/>
          <w:color w:val="auto"/>
          <w:spacing w:val="0"/>
          <w:position w:val="0"/>
          <w:sz w:val="24"/>
          <w:shd w:fill="auto" w:val="clear"/>
        </w:rPr>
        <w:t xml:space="preserve">)</w:t>
      </w:r>
    </w:p>
    <w:p>
      <w:pPr>
        <w:suppressAutoHyphens w:val="true"/>
        <w:spacing w:before="120" w:after="120" w:line="276"/>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Komisioni, gjatë miratimit nen për nen të projektligjit, miratoi këto ndryshime në tekstin e projektligjit: </w:t>
      </w:r>
    </w:p>
    <w:p>
      <w:pPr>
        <w:numPr>
          <w:ilvl w:val="0"/>
          <w:numId w:val="34"/>
        </w:numPr>
        <w:tabs>
          <w:tab w:val="left" w:pos="360" w:leader="none"/>
        </w:tabs>
        <w:suppressAutoHyphens w:val="true"/>
        <w:spacing w:before="120" w:after="120" w:line="276"/>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Pika 1. e n</w:t>
      </w:r>
      <w:r>
        <w:rPr>
          <w:rFonts w:ascii="Times New Roman" w:hAnsi="Times New Roman" w:cs="Times New Roman" w:eastAsia="Times New Roman"/>
          <w:color w:val="auto"/>
          <w:spacing w:val="0"/>
          <w:position w:val="0"/>
          <w:sz w:val="24"/>
          <w:shd w:fill="auto" w:val="clear"/>
        </w:rPr>
        <w:t xml:space="preserve">enit 16, Nxjerrja e akteve nënligjore, riformulohet si më poshtë vijon:</w:t>
      </w:r>
    </w:p>
    <w:p>
      <w:pPr>
        <w:suppressAutoHyphens w:val="true"/>
        <w:spacing w:before="120" w:after="120" w:line="276"/>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Ngarkohet Këshilli i Ministrave që, brenda 6 muajve nga hyrja në fuqi e këtij ligji, të miratojë aktet nënligjore, në zbatim të neneve 9, pikat 3 e 5, dhe 10, pika 13, të këtij ligji.</w:t>
      </w:r>
    </w:p>
    <w:p>
      <w:pPr>
        <w:numPr>
          <w:ilvl w:val="0"/>
          <w:numId w:val="36"/>
        </w:numPr>
        <w:suppressAutoHyphens w:val="true"/>
        <w:spacing w:before="120" w:after="120" w:line="276"/>
        <w:ind w:right="0" w:left="720" w:hanging="36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PËRFUNDIME</w:t>
      </w:r>
    </w:p>
    <w:p>
      <w:pPr>
        <w:suppressAutoHyphens w:val="true"/>
        <w:spacing w:before="120" w:after="12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Komisioni për Edukimin, Shkencën dhe Sportet, vlerësoi se:</w:t>
      </w:r>
    </w:p>
    <w:p>
      <w:pPr>
        <w:numPr>
          <w:ilvl w:val="0"/>
          <w:numId w:val="38"/>
        </w:numPr>
        <w:tabs>
          <w:tab w:val="left" w:pos="0" w:leader="none"/>
        </w:tabs>
        <w:suppressAutoHyphens w:val="true"/>
        <w:spacing w:before="120" w:after="120" w:line="276"/>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Projektligji është në përputhje me Kushtetutën e Republikës së Shqipërisë dhe legjislacionin në fuqi,</w:t>
      </w:r>
    </w:p>
    <w:p>
      <w:pPr>
        <w:numPr>
          <w:ilvl w:val="0"/>
          <w:numId w:val="38"/>
        </w:numPr>
        <w:tabs>
          <w:tab w:val="left" w:pos="0" w:leader="none"/>
        </w:tabs>
        <w:suppressAutoHyphens w:val="true"/>
        <w:spacing w:before="120" w:after="120" w:line="276"/>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Projektligji respekton procedurat e parashikuara në Rregulloren e Kuvendit,</w:t>
      </w:r>
    </w:p>
    <w:p>
      <w:pPr>
        <w:numPr>
          <w:ilvl w:val="0"/>
          <w:numId w:val="38"/>
        </w:numPr>
        <w:tabs>
          <w:tab w:val="left" w:pos="0" w:leader="none"/>
        </w:tabs>
        <w:suppressAutoHyphens w:val="true"/>
        <w:spacing w:before="120" w:after="12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Projektligji nuk synon të përafrojë ndonjë akt të veçantë të legjislacionit të BE-së. </w:t>
      </w:r>
    </w:p>
    <w:p>
      <w:pPr>
        <w:suppressAutoHyphens w:val="true"/>
        <w:spacing w:before="120" w:after="12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Pasi u shqyrtua në parim, nen për nen dhe në tërësi, projektligji u miratua me votat e deputetëve të mazhorancës (7 vota pro), ndërkohë që deputetët e opozitës të pranishëm në Komision, votuan kundër (4 vota kundër). Komisioni u shpreh dakord për t’ia përcjellë seancës plenare për të vijuar me procedurën e miratimit sipas Rregullores së Kuvendit.</w:t>
      </w:r>
    </w:p>
    <w:p>
      <w:pPr>
        <w:suppressAutoHyphens w:val="true"/>
        <w:spacing w:before="120" w:after="120" w:line="276"/>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120" w:after="120" w:line="276"/>
        <w:ind w:right="0" w:left="0" w:firstLine="0"/>
        <w:jc w:val="both"/>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RELATOR</w:t>
        <w:tab/>
        <w:tab/>
        <w:tab/>
        <w:tab/>
        <w:tab/>
        <w:tab/>
        <w:tab/>
        <w:tab/>
        <w:t xml:space="preserve">  KRYETAR</w:t>
      </w:r>
    </w:p>
    <w:p>
      <w:pPr>
        <w:suppressAutoHyphens w:val="true"/>
        <w:spacing w:before="120" w:after="120" w:line="276"/>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Ana Nako</w:t>
      </w:r>
    </w:p>
    <w:p>
      <w:pPr>
        <w:suppressAutoHyphens w:val="true"/>
        <w:spacing w:before="120" w:after="120" w:line="276"/>
        <w:ind w:right="0" w:left="5760" w:firstLine="72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Luçiano Boçi</w:t>
      </w:r>
    </w:p>
    <w:p>
      <w:pPr>
        <w:suppressAutoHyphens w:val="true"/>
        <w:spacing w:before="120" w:after="120" w:line="276"/>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Luan Baçi </w:t>
        <w:tab/>
        <w:tab/>
        <w:tab/>
        <w:tab/>
        <w:tab/>
        <w:tab/>
        <w:tab/>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abstractNum w:abstractNumId="72">
    <w:lvl w:ilvl="0">
      <w:start w:val="1"/>
      <w:numFmt w:val="bullet"/>
      <w:lvlText w:val="•"/>
    </w:lvl>
  </w:abstractNum>
  <w:num w:numId="4">
    <w:abstractNumId w:val="72"/>
  </w:num>
  <w:num w:numId="8">
    <w:abstractNumId w:val="66"/>
  </w:num>
  <w:num w:numId="11">
    <w:abstractNumId w:val="60"/>
  </w:num>
  <w:num w:numId="14">
    <w:abstractNumId w:val="54"/>
  </w:num>
  <w:num w:numId="16">
    <w:abstractNumId w:val="48"/>
  </w:num>
  <w:num w:numId="18">
    <w:abstractNumId w:val="42"/>
  </w:num>
  <w:num w:numId="20">
    <w:abstractNumId w:val="36"/>
  </w:num>
  <w:num w:numId="22">
    <w:abstractNumId w:val="30"/>
  </w:num>
  <w:num w:numId="24">
    <w:abstractNumId w:val="24"/>
  </w:num>
  <w:num w:numId="31">
    <w:abstractNumId w:val="18"/>
  </w:num>
  <w:num w:numId="34">
    <w:abstractNumId w:val="12"/>
  </w:num>
  <w:num w:numId="36">
    <w:abstractNumId w:val="6"/>
  </w:num>
  <w:num w:numId="38">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